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59000B" w:rsidP="00F3615F">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MPC-468</w:t>
      </w:r>
    </w:p>
    <w:p w:rsidR="00073055" w:rsidRPr="00073055" w:rsidRDefault="0059000B" w:rsidP="00073055">
      <w:pPr>
        <w:pStyle w:val="Title"/>
        <w:rPr>
          <w:sz w:val="28"/>
          <w:szCs w:val="28"/>
        </w:rPr>
      </w:pPr>
      <w:r>
        <w:rPr>
          <w:rFonts w:ascii="Arial" w:eastAsia="Times New Roman" w:hAnsi="Arial" w:cs="Arial"/>
          <w:sz w:val="28"/>
          <w:szCs w:val="28"/>
        </w:rPr>
        <w:t>April 1, 2014- July 31, 2017</w:t>
      </w:r>
      <w:r w:rsidR="00073055" w:rsidRPr="00073055">
        <w:rPr>
          <w:rFonts w:ascii="Arial" w:eastAsia="Times New Roman" w:hAnsi="Arial" w:cs="Arial"/>
          <w:sz w:val="28"/>
          <w:szCs w:val="28"/>
        </w:rPr>
        <w:t xml:space="preserve"> </w:t>
      </w:r>
    </w:p>
    <w:p w:rsidR="007A6340" w:rsidRPr="007A6340" w:rsidRDefault="007A6340" w:rsidP="007A6340">
      <w:pPr>
        <w:rPr>
          <w:b/>
        </w:rPr>
      </w:pPr>
      <w:r w:rsidRPr="007A6340">
        <w:rPr>
          <w:b/>
        </w:rPr>
        <w:t>Project Title</w:t>
      </w:r>
      <w:r>
        <w:rPr>
          <w:b/>
        </w:rPr>
        <w:t>:</w:t>
      </w:r>
    </w:p>
    <w:p w:rsidR="007A6340" w:rsidRDefault="006C1C7E" w:rsidP="007A6340">
      <w:r>
        <w:rPr>
          <w:rFonts w:eastAsia="Times New Roman" w:cs="Times New Roman"/>
          <w:color w:val="000000"/>
          <w:szCs w:val="24"/>
        </w:rPr>
        <w:t>Performance Evaluation of Highway Surface Treatments (Phase I: Short-Term Performance)</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6C1C7E" w:rsidP="007A6340">
      <w:r>
        <w:rPr>
          <w:rFonts w:eastAsia="Times New Roman" w:cs="Times New Roman"/>
          <w:color w:val="000000"/>
          <w:szCs w:val="24"/>
        </w:rPr>
        <w:t>The University of Utah</w:t>
      </w:r>
    </w:p>
    <w:p w:rsidR="007A6340" w:rsidRDefault="007A6340" w:rsidP="007A6340"/>
    <w:p w:rsidR="007A6340" w:rsidRPr="007A6340" w:rsidRDefault="007A6340" w:rsidP="007A6340">
      <w:pPr>
        <w:rPr>
          <w:b/>
        </w:rPr>
      </w:pPr>
      <w:r w:rsidRPr="007A6340">
        <w:rPr>
          <w:b/>
        </w:rPr>
        <w:t>Principal Investigators:</w:t>
      </w:r>
    </w:p>
    <w:p w:rsidR="0059000B" w:rsidRDefault="006C1C7E" w:rsidP="007A6340">
      <w:pPr>
        <w:rPr>
          <w:rFonts w:eastAsia="Times New Roman" w:cs="Times New Roman"/>
          <w:color w:val="000000"/>
          <w:szCs w:val="24"/>
        </w:rPr>
      </w:pPr>
      <w:r>
        <w:rPr>
          <w:rFonts w:eastAsia="Times New Roman" w:cs="Times New Roman"/>
          <w:color w:val="000000"/>
          <w:szCs w:val="24"/>
        </w:rPr>
        <w:t xml:space="preserve">Pedro Romero, Ph.D., </w:t>
      </w:r>
    </w:p>
    <w:p w:rsidR="006C1C7E" w:rsidRDefault="006C1C7E" w:rsidP="007A6340">
      <w:pPr>
        <w:rPr>
          <w:rFonts w:eastAsia="Times New Roman" w:cs="Times New Roman"/>
          <w:color w:val="000000"/>
          <w:szCs w:val="24"/>
        </w:rPr>
      </w:pPr>
      <w:r>
        <w:rPr>
          <w:rFonts w:eastAsia="Times New Roman" w:cs="Times New Roman"/>
          <w:color w:val="000000"/>
          <w:szCs w:val="24"/>
        </w:rPr>
        <w:t>P.E., Associate Professor of Civil and Environmental Engineering</w:t>
      </w:r>
    </w:p>
    <w:p w:rsidR="006C1C7E" w:rsidRDefault="006C1C7E" w:rsidP="007A6340">
      <w:pPr>
        <w:rPr>
          <w:rFonts w:eastAsia="Times New Roman" w:cs="Times New Roman"/>
          <w:color w:val="000000"/>
          <w:szCs w:val="24"/>
        </w:rPr>
      </w:pPr>
      <w:r>
        <w:rPr>
          <w:rFonts w:eastAsia="Times New Roman" w:cs="Times New Roman"/>
          <w:color w:val="000000"/>
          <w:szCs w:val="24"/>
        </w:rPr>
        <w:t>110 Central Campus Drive, Suite 2000, Salt Lake City, UT 84112</w:t>
      </w:r>
    </w:p>
    <w:p w:rsidR="006C1C7E" w:rsidRDefault="006C1C7E" w:rsidP="007A6340">
      <w:pPr>
        <w:rPr>
          <w:rFonts w:eastAsia="Times New Roman" w:cs="Times New Roman"/>
          <w:color w:val="000000"/>
          <w:szCs w:val="24"/>
        </w:rPr>
      </w:pPr>
      <w:proofErr w:type="gramStart"/>
      <w:r>
        <w:rPr>
          <w:rFonts w:eastAsia="Times New Roman" w:cs="Times New Roman"/>
          <w:color w:val="000000"/>
          <w:szCs w:val="24"/>
        </w:rPr>
        <w:t>Phone: 801-587-7725</w:t>
      </w:r>
      <w:r>
        <w:rPr>
          <w:rFonts w:eastAsia="Times New Roman" w:cs="Times New Roman"/>
          <w:color w:val="000000"/>
          <w:szCs w:val="24"/>
        </w:rPr>
        <w:tab/>
        <w:t>e-mail</w:t>
      </w:r>
      <w:proofErr w:type="gramEnd"/>
      <w:r>
        <w:rPr>
          <w:rFonts w:eastAsia="Times New Roman" w:cs="Times New Roman"/>
          <w:color w:val="000000"/>
          <w:szCs w:val="24"/>
        </w:rPr>
        <w:t>: romero@civil.utah.edu</w:t>
      </w:r>
    </w:p>
    <w:p w:rsidR="007A6340" w:rsidRDefault="007A6340" w:rsidP="007A6340"/>
    <w:p w:rsidR="007A6340" w:rsidRPr="007A6340" w:rsidRDefault="007A6340" w:rsidP="007A6340">
      <w:pPr>
        <w:rPr>
          <w:b/>
        </w:rPr>
      </w:pPr>
      <w:r w:rsidRPr="007A6340">
        <w:rPr>
          <w:b/>
        </w:rPr>
        <w:t>Research Needs:</w:t>
      </w:r>
    </w:p>
    <w:p w:rsidR="006C1C7E" w:rsidRDefault="006C1C7E" w:rsidP="006C1C7E">
      <w:r>
        <w:t>Surface treatments are used throughout the region to provide adequate riding surfaces as well as to protect the pavement structure.  Four of the most common surface treatments are Open Graded Surface Courses (OGSC), Bonded Wearing Courses</w:t>
      </w:r>
      <w:r w:rsidR="00012086">
        <w:t xml:space="preserve"> (BWC)</w:t>
      </w:r>
      <w:r>
        <w:t>, Stone Matrix Asphalt (SMA), and Dense Graded Courses</w:t>
      </w:r>
      <w:r w:rsidR="00012086">
        <w:t xml:space="preserve"> (DGC)</w:t>
      </w:r>
      <w:r>
        <w:t xml:space="preserve">.  Collectively, these surface treatments are </w:t>
      </w:r>
      <w:r w:rsidR="00085B28">
        <w:t xml:space="preserve">used in primary roads and thus are </w:t>
      </w:r>
      <w:r>
        <w:t>referred to as ‘higher costs’ surface treatments.  Each of these courses has different design, different costs, and different performance.  While the design process and the cost are known, very little can be said about their performance or where should each of them be used; there is a need to document their performance and understand their optimal application.</w:t>
      </w:r>
    </w:p>
    <w:p w:rsidR="007A6340" w:rsidRDefault="007A6340" w:rsidP="007A6340"/>
    <w:p w:rsidR="007A6340" w:rsidRPr="007A6340" w:rsidRDefault="007A6340" w:rsidP="007A6340">
      <w:pPr>
        <w:rPr>
          <w:b/>
        </w:rPr>
      </w:pPr>
      <w:r w:rsidRPr="007A6340">
        <w:rPr>
          <w:b/>
        </w:rPr>
        <w:t>Research Objectives:</w:t>
      </w:r>
    </w:p>
    <w:p w:rsidR="006C1C7E" w:rsidRDefault="006C1C7E" w:rsidP="006C1C7E">
      <w:r>
        <w:t xml:space="preserve">The objectives of this project are to: </w:t>
      </w:r>
    </w:p>
    <w:p w:rsidR="006C1C7E" w:rsidRDefault="006C1C7E" w:rsidP="006C1C7E">
      <w:pPr>
        <w:pStyle w:val="ListParagraph"/>
        <w:numPr>
          <w:ilvl w:val="0"/>
          <w:numId w:val="5"/>
        </w:numPr>
        <w:spacing w:after="200" w:line="276" w:lineRule="auto"/>
      </w:pPr>
      <w:r>
        <w:t>Evaluate the performance of O</w:t>
      </w:r>
      <w:r w:rsidR="00D24712">
        <w:t xml:space="preserve">pen </w:t>
      </w:r>
      <w:r>
        <w:t>G</w:t>
      </w:r>
      <w:r w:rsidR="00D24712">
        <w:t xml:space="preserve">raded </w:t>
      </w:r>
      <w:r>
        <w:t>S</w:t>
      </w:r>
      <w:r w:rsidR="00D24712">
        <w:t xml:space="preserve">urface </w:t>
      </w:r>
      <w:r>
        <w:t>C</w:t>
      </w:r>
      <w:r w:rsidR="00D24712">
        <w:t>ourses (OGSC)</w:t>
      </w:r>
      <w:r>
        <w:t>, Bonded wearing courses</w:t>
      </w:r>
      <w:r w:rsidR="00D24712">
        <w:t xml:space="preserve"> (BWC)</w:t>
      </w:r>
      <w:r>
        <w:t>, S</w:t>
      </w:r>
      <w:r w:rsidR="00D24712">
        <w:t xml:space="preserve">tone </w:t>
      </w:r>
      <w:r>
        <w:t>M</w:t>
      </w:r>
      <w:r w:rsidR="00D24712">
        <w:t xml:space="preserve">atrix </w:t>
      </w:r>
      <w:r>
        <w:t>A</w:t>
      </w:r>
      <w:r w:rsidR="00D24712">
        <w:t>sphalt (SMA)</w:t>
      </w:r>
      <w:r>
        <w:t>, and Dense Graded courses</w:t>
      </w:r>
      <w:r w:rsidR="00D24712">
        <w:t xml:space="preserve"> (DGC) as surface treatments of roads</w:t>
      </w:r>
    </w:p>
    <w:p w:rsidR="006C1C7E" w:rsidRDefault="006C1C7E" w:rsidP="006C1C7E">
      <w:pPr>
        <w:pStyle w:val="ListParagraph"/>
        <w:numPr>
          <w:ilvl w:val="0"/>
          <w:numId w:val="5"/>
        </w:numPr>
        <w:spacing w:after="200" w:line="276" w:lineRule="auto"/>
      </w:pPr>
      <w:r>
        <w:t>Confirm their differences</w:t>
      </w:r>
      <w:r w:rsidR="00AC0C6E">
        <w:t xml:space="preserve"> based on short-term performance</w:t>
      </w:r>
    </w:p>
    <w:p w:rsidR="006C1C7E" w:rsidRDefault="006C1C7E" w:rsidP="006C1C7E">
      <w:pPr>
        <w:pStyle w:val="ListParagraph"/>
        <w:numPr>
          <w:ilvl w:val="0"/>
          <w:numId w:val="5"/>
        </w:numPr>
        <w:spacing w:after="200" w:line="276" w:lineRule="auto"/>
      </w:pPr>
      <w:r>
        <w:t>Develop guidelines for their use</w:t>
      </w:r>
    </w:p>
    <w:p w:rsidR="006C1C7E" w:rsidRDefault="006C1C7E" w:rsidP="007A6340">
      <w:pPr>
        <w:rPr>
          <w:rFonts w:eastAsia="Times New Roman" w:cs="Times New Roman"/>
          <w:color w:val="000000"/>
          <w:szCs w:val="24"/>
        </w:rPr>
      </w:pPr>
      <w:r>
        <w:rPr>
          <w:rFonts w:eastAsia="Times New Roman" w:cs="Times New Roman"/>
          <w:color w:val="000000"/>
          <w:szCs w:val="24"/>
        </w:rPr>
        <w:t xml:space="preserve">At the end of this project, state highway agencies should be able to select the most appropriate surface treatment to ensure longevity and </w:t>
      </w:r>
      <w:r w:rsidR="00AC0C6E">
        <w:rPr>
          <w:rFonts w:eastAsia="Times New Roman" w:cs="Times New Roman"/>
          <w:color w:val="000000"/>
          <w:szCs w:val="24"/>
        </w:rPr>
        <w:t xml:space="preserve">the state of </w:t>
      </w:r>
      <w:r>
        <w:rPr>
          <w:rFonts w:eastAsia="Times New Roman" w:cs="Times New Roman"/>
          <w:color w:val="000000"/>
          <w:szCs w:val="24"/>
        </w:rPr>
        <w:t>good repair of the infrastructure.</w:t>
      </w:r>
    </w:p>
    <w:p w:rsidR="007A6340" w:rsidRDefault="007A6340" w:rsidP="007A6340"/>
    <w:p w:rsidR="007A6340" w:rsidRPr="007A6340" w:rsidRDefault="007A6340" w:rsidP="007A6340">
      <w:pPr>
        <w:rPr>
          <w:b/>
        </w:rPr>
      </w:pPr>
      <w:r w:rsidRPr="007A6340">
        <w:rPr>
          <w:b/>
        </w:rPr>
        <w:t>Research Methods:</w:t>
      </w:r>
    </w:p>
    <w:p w:rsidR="00012086" w:rsidRDefault="006C1C7E" w:rsidP="006C1C7E">
      <w:r>
        <w:t xml:space="preserve">The above objectives will be accomplished </w:t>
      </w:r>
      <w:r w:rsidR="00012086">
        <w:t>through field data collection and performance evaluation of the riding surface. Changes in key surface performance parameters will be tracked as a function of time.  For Phase I, those treatments showing a tendency for early distresses will be identified. The information will be used in</w:t>
      </w:r>
      <w:r w:rsidR="00085B28">
        <w:t xml:space="preserve"> a follow up study</w:t>
      </w:r>
      <w:r w:rsidR="00012086">
        <w:t xml:space="preserve"> </w:t>
      </w:r>
      <w:r w:rsidR="00085B28">
        <w:t>(P</w:t>
      </w:r>
      <w:r w:rsidR="00012086">
        <w:t>hase</w:t>
      </w:r>
      <w:r w:rsidR="00085B28">
        <w:t xml:space="preserve"> II) with long-term monitoring of the riding surfaces.</w:t>
      </w:r>
    </w:p>
    <w:p w:rsidR="00012086" w:rsidRDefault="00012086" w:rsidP="006C1C7E"/>
    <w:p w:rsidR="00085B28" w:rsidRDefault="00085B28">
      <w:pPr>
        <w:spacing w:after="200" w:line="276" w:lineRule="auto"/>
      </w:pPr>
      <w:r>
        <w:br w:type="page"/>
      </w:r>
    </w:p>
    <w:p w:rsidR="006C1C7E" w:rsidRDefault="006C1C7E" w:rsidP="006C1C7E">
      <w:r>
        <w:lastRenderedPageBreak/>
        <w:t xml:space="preserve">The following tasks are anticipated </w:t>
      </w:r>
      <w:r w:rsidR="00012086">
        <w:t xml:space="preserve">for </w:t>
      </w:r>
      <w:r>
        <w:t xml:space="preserve">the </w:t>
      </w:r>
      <w:r w:rsidR="00085B28">
        <w:t>proposed</w:t>
      </w:r>
      <w:r w:rsidR="007B6125">
        <w:t xml:space="preserve"> </w:t>
      </w:r>
      <w:r>
        <w:t>phase</w:t>
      </w:r>
      <w:r w:rsidR="007B6125">
        <w:t xml:space="preserve"> of this project</w:t>
      </w:r>
      <w:r>
        <w:t>.</w:t>
      </w:r>
    </w:p>
    <w:p w:rsidR="006C1C7E" w:rsidRDefault="006C1C7E" w:rsidP="006C1C7E">
      <w:pPr>
        <w:rPr>
          <w:u w:val="single"/>
        </w:rPr>
      </w:pPr>
    </w:p>
    <w:p w:rsidR="006C1C7E" w:rsidRDefault="006C1C7E" w:rsidP="006C1C7E">
      <w:r>
        <w:t>Task 1- Identification of Projects</w:t>
      </w:r>
    </w:p>
    <w:p w:rsidR="006C1C7E" w:rsidRDefault="006C1C7E" w:rsidP="006C1C7E">
      <w:pPr>
        <w:ind w:left="720"/>
      </w:pPr>
      <w:r>
        <w:t>A series of meetings will be coordinated with Asset Management and the Regional Pavement Engineers to identify upcoming projects to monitor and define test sections.  At least two projects will be selected for each treatment and, ideally, they would have different levels of traffic. The sections should be at least one mile long.</w:t>
      </w:r>
    </w:p>
    <w:p w:rsidR="007B6125" w:rsidRDefault="007B6125" w:rsidP="006C1C7E">
      <w:pPr>
        <w:ind w:left="720"/>
      </w:pPr>
    </w:p>
    <w:p w:rsidR="006C1C7E" w:rsidRDefault="006C1C7E" w:rsidP="006C1C7E">
      <w:r>
        <w:t>Task 2- Development of Data Collection Parameters</w:t>
      </w:r>
    </w:p>
    <w:p w:rsidR="006C1C7E" w:rsidRDefault="007B6125" w:rsidP="006C1C7E">
      <w:pPr>
        <w:ind w:left="720"/>
      </w:pPr>
      <w:r>
        <w:t>Collection</w:t>
      </w:r>
      <w:r w:rsidR="006C1C7E">
        <w:t xml:space="preserve"> parameters will include ride quality (Roughness), visual distresses (rutting, cracking, raveling, delamination), and safety measures (skid resistance). These parameters are normally obtained every other year using an ARAN van and they are available at 0.1-mile intervals</w:t>
      </w:r>
      <w:r w:rsidR="00401F33">
        <w:t xml:space="preserve"> (</w:t>
      </w:r>
      <w:r w:rsidR="00401F33" w:rsidRPr="00401F33">
        <w:t>http://roadview.udot.utah.gov/</w:t>
      </w:r>
      <w:r w:rsidR="00401F33">
        <w:t>)</w:t>
      </w:r>
      <w:r w:rsidR="006C1C7E">
        <w:t>.  Other parameters that will be required include traffic counts and weather.</w:t>
      </w:r>
    </w:p>
    <w:p w:rsidR="006C1C7E" w:rsidRDefault="006C1C7E" w:rsidP="006C1C7E"/>
    <w:p w:rsidR="006C1C7E" w:rsidRDefault="006C1C7E" w:rsidP="006C1C7E">
      <w:r>
        <w:t>Task 3- Existing Pavement Condition</w:t>
      </w:r>
    </w:p>
    <w:p w:rsidR="006C1C7E" w:rsidRDefault="006C1C7E" w:rsidP="006C1C7E">
      <w:pPr>
        <w:ind w:left="720"/>
      </w:pPr>
      <w:r>
        <w:t>Prior to the application of any surface treatment for the sections selected in Task 1, the condition of the existing pavement will be obtained. The same database described in Task 2 will be analyzed and the conditions documented. For those sections that have been already constructed, an effort will be made to locate any pre-construction documents with the required information.</w:t>
      </w:r>
    </w:p>
    <w:p w:rsidR="007B6125" w:rsidRDefault="007B6125" w:rsidP="006C1C7E"/>
    <w:p w:rsidR="006C1C7E" w:rsidRDefault="006C1C7E" w:rsidP="006C1C7E">
      <w:r>
        <w:t>Task 4- Treatments</w:t>
      </w:r>
    </w:p>
    <w:p w:rsidR="006C1C7E" w:rsidRDefault="006C1C7E" w:rsidP="006C1C7E">
      <w:pPr>
        <w:ind w:left="720"/>
      </w:pPr>
      <w:r>
        <w:t>The treatments constructed on each section will be documented.  Information will include: time of year and weather conditions during construction, constructability issues (special attention will be given to SMAs), and any deviation from the specifications.  When practical, material will be collected and transported to the University of Utah for storage to allow possible testing (testing is outside the scope of this project).</w:t>
      </w:r>
    </w:p>
    <w:p w:rsidR="007B6125" w:rsidRDefault="007B6125" w:rsidP="006C1C7E">
      <w:pPr>
        <w:rPr>
          <w:u w:val="single"/>
        </w:rPr>
      </w:pPr>
    </w:p>
    <w:p w:rsidR="006C1C7E" w:rsidRDefault="006C1C7E" w:rsidP="006C1C7E">
      <w:r>
        <w:t xml:space="preserve">Task 5- </w:t>
      </w:r>
      <w:r w:rsidR="007B6125">
        <w:t xml:space="preserve">Performance </w:t>
      </w:r>
      <w:r>
        <w:t>Monitoring</w:t>
      </w:r>
    </w:p>
    <w:p w:rsidR="006C1C7E" w:rsidRDefault="007B6125" w:rsidP="006C1C7E">
      <w:pPr>
        <w:ind w:left="720"/>
      </w:pPr>
      <w:r>
        <w:t>T</w:t>
      </w:r>
      <w:r w:rsidR="006C1C7E">
        <w:t>he condition of the pavement sections will be</w:t>
      </w:r>
      <w:r>
        <w:t xml:space="preserve"> documented after one year of traffic. </w:t>
      </w:r>
      <w:r w:rsidR="006C1C7E">
        <w:t>This condition will include the parameters selected in Task 2 plus any other relevant information available through records. It is expected that some early failures will be identified.  If that is indeed the case a special report will be issue to ensure poor performers do not continue to be used.  Other changes in performance or preliminary trends will be noted.</w:t>
      </w:r>
    </w:p>
    <w:p w:rsidR="000A1588" w:rsidRDefault="000A1588" w:rsidP="000A1588"/>
    <w:p w:rsidR="000A1588" w:rsidRDefault="000A1588" w:rsidP="000A1588">
      <w:r>
        <w:t>Task 6 – Final Report</w:t>
      </w:r>
    </w:p>
    <w:p w:rsidR="000A1588" w:rsidRDefault="000A1588" w:rsidP="000A1588">
      <w:pPr>
        <w:ind w:left="720"/>
      </w:pPr>
      <w:r>
        <w:t>A final report will be produced based on the findings from Tasks 1 through 5.</w:t>
      </w:r>
    </w:p>
    <w:p w:rsidR="007A6340" w:rsidRDefault="007A6340" w:rsidP="007A6340"/>
    <w:p w:rsidR="007A6340" w:rsidRPr="007A6340" w:rsidRDefault="007A6340" w:rsidP="007A6340">
      <w:pPr>
        <w:rPr>
          <w:b/>
        </w:rPr>
      </w:pPr>
      <w:r w:rsidRPr="007A6340">
        <w:rPr>
          <w:b/>
        </w:rPr>
        <w:t>Expected Outcomes:</w:t>
      </w:r>
    </w:p>
    <w:p w:rsidR="00D24712" w:rsidRDefault="00D24712" w:rsidP="00D24712">
      <w:r>
        <w:t xml:space="preserve">The expected outcome will be </w:t>
      </w:r>
      <w:r w:rsidR="000A1588">
        <w:t xml:space="preserve">a report with </w:t>
      </w:r>
      <w:r>
        <w:t>a set of recommendations for the preferred use of each treatment.  It is expected that a table similar to the one shown</w:t>
      </w:r>
      <w:r w:rsidR="00085B28">
        <w:t xml:space="preserve"> on the next page</w:t>
      </w:r>
      <w:r>
        <w:t xml:space="preserve"> will be used to simplify the selection of alternatives.  If the data shows any specific trend it will be highlighted.</w:t>
      </w:r>
    </w:p>
    <w:p w:rsidR="00D24712" w:rsidRDefault="00D24712" w:rsidP="00D24712"/>
    <w:p w:rsidR="00085B28" w:rsidRDefault="00085B28" w:rsidP="000A1588">
      <w:r>
        <w:lastRenderedPageBreak/>
        <w:t>These findings will allow state highway agencies to select the appropriate surface treatment for their primary roads, thus reducing the impact caused by construction delays while improving the overall condition of the highways.</w:t>
      </w:r>
    </w:p>
    <w:p w:rsidR="000A1588" w:rsidRDefault="000A1588" w:rsidP="000A1588">
      <w:pPr>
        <w:rPr>
          <w:i/>
        </w:rPr>
      </w:pPr>
    </w:p>
    <w:p w:rsidR="00D24712" w:rsidRPr="00F2715D" w:rsidRDefault="00D24712" w:rsidP="00D24712">
      <w:pPr>
        <w:rPr>
          <w:i/>
        </w:rPr>
      </w:pPr>
      <w:r w:rsidRPr="00F2715D">
        <w:rPr>
          <w:i/>
        </w:rPr>
        <w:t xml:space="preserve">Table 1 – </w:t>
      </w:r>
      <w:r>
        <w:rPr>
          <w:i/>
        </w:rPr>
        <w:t xml:space="preserve">Example: </w:t>
      </w:r>
      <w:r w:rsidRPr="00F2715D">
        <w:rPr>
          <w:i/>
        </w:rPr>
        <w:t>Possible table of alternatives for a given traffic level.</w:t>
      </w:r>
    </w:p>
    <w:tbl>
      <w:tblPr>
        <w:tblStyle w:val="MediumShading1-Accent2"/>
        <w:tblW w:w="0" w:type="auto"/>
        <w:jc w:val="center"/>
        <w:tblLook w:val="04A0" w:firstRow="1" w:lastRow="0" w:firstColumn="1" w:lastColumn="0" w:noHBand="0" w:noVBand="1"/>
      </w:tblPr>
      <w:tblGrid>
        <w:gridCol w:w="1676"/>
        <w:gridCol w:w="1996"/>
        <w:gridCol w:w="2249"/>
        <w:gridCol w:w="2249"/>
      </w:tblGrid>
      <w:tr w:rsidR="00D24712" w:rsidTr="00473F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shd w:val="clear" w:color="auto" w:fill="auto"/>
          </w:tcPr>
          <w:p w:rsidR="00D24712" w:rsidRDefault="00D24712" w:rsidP="00CF692C"/>
        </w:tc>
        <w:tc>
          <w:tcPr>
            <w:tcW w:w="0" w:type="auto"/>
          </w:tcPr>
          <w:p w:rsidR="00D24712" w:rsidRDefault="00D24712" w:rsidP="00CF692C">
            <w:pPr>
              <w:cnfStyle w:val="100000000000" w:firstRow="1" w:lastRow="0" w:firstColumn="0" w:lastColumn="0" w:oddVBand="0" w:evenVBand="0" w:oddHBand="0" w:evenHBand="0" w:firstRowFirstColumn="0" w:firstRowLastColumn="0" w:lastRowFirstColumn="0" w:lastRowLastColumn="0"/>
            </w:pPr>
          </w:p>
        </w:tc>
        <w:tc>
          <w:tcPr>
            <w:tcW w:w="0" w:type="auto"/>
          </w:tcPr>
          <w:p w:rsidR="00D24712" w:rsidRDefault="00D24712" w:rsidP="00CF692C">
            <w:pPr>
              <w:cnfStyle w:val="100000000000" w:firstRow="1" w:lastRow="0" w:firstColumn="0" w:lastColumn="0" w:oddVBand="0" w:evenVBand="0" w:oddHBand="0" w:evenHBand="0" w:firstRowFirstColumn="0" w:firstRowLastColumn="0" w:lastRowFirstColumn="0" w:lastRowLastColumn="0"/>
            </w:pPr>
            <w:r>
              <w:t>Road Condition*</w:t>
            </w:r>
          </w:p>
        </w:tc>
        <w:tc>
          <w:tcPr>
            <w:tcW w:w="0" w:type="auto"/>
          </w:tcPr>
          <w:p w:rsidR="00D24712" w:rsidRDefault="00D24712" w:rsidP="00CF692C">
            <w:pPr>
              <w:cnfStyle w:val="100000000000" w:firstRow="1" w:lastRow="0" w:firstColumn="0" w:lastColumn="0" w:oddVBand="0" w:evenVBand="0" w:oddHBand="0" w:evenHBand="0" w:firstRowFirstColumn="0" w:firstRowLastColumn="0" w:lastRowFirstColumn="0" w:lastRowLastColumn="0"/>
            </w:pPr>
          </w:p>
        </w:tc>
      </w:tr>
      <w:tr w:rsidR="00D24712" w:rsidTr="00473F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single" w:sz="4" w:space="0" w:color="auto"/>
            </w:tcBorders>
          </w:tcPr>
          <w:p w:rsidR="00D24712" w:rsidRDefault="00D24712" w:rsidP="00CF692C">
            <w:pPr>
              <w:jc w:val="center"/>
            </w:pPr>
            <w:r>
              <w:t>Treatment</w:t>
            </w:r>
          </w:p>
        </w:tc>
        <w:tc>
          <w:tcPr>
            <w:tcW w:w="0" w:type="auto"/>
            <w:tcBorders>
              <w:left w:val="single" w:sz="4" w:space="0" w:color="auto"/>
              <w:bottom w:val="single" w:sz="4" w:space="0" w:color="auto"/>
            </w:tcBorders>
          </w:tcPr>
          <w:p w:rsidR="00D24712" w:rsidRPr="006A695B" w:rsidRDefault="00D24712" w:rsidP="00CF692C">
            <w:pPr>
              <w:jc w:val="center"/>
              <w:cnfStyle w:val="000000100000" w:firstRow="0" w:lastRow="0" w:firstColumn="0" w:lastColumn="0" w:oddVBand="0" w:evenVBand="0" w:oddHBand="1" w:evenHBand="0" w:firstRowFirstColumn="0" w:firstRowLastColumn="0" w:lastRowFirstColumn="0" w:lastRowLastColumn="0"/>
              <w:rPr>
                <w:b/>
              </w:rPr>
            </w:pPr>
            <w:r w:rsidRPr="006A695B">
              <w:rPr>
                <w:b/>
              </w:rPr>
              <w:t>Poor</w:t>
            </w:r>
          </w:p>
        </w:tc>
        <w:tc>
          <w:tcPr>
            <w:tcW w:w="0" w:type="auto"/>
            <w:tcBorders>
              <w:bottom w:val="single" w:sz="4" w:space="0" w:color="auto"/>
            </w:tcBorders>
          </w:tcPr>
          <w:p w:rsidR="00D24712" w:rsidRPr="006A695B" w:rsidRDefault="00D24712" w:rsidP="00CF692C">
            <w:pPr>
              <w:jc w:val="center"/>
              <w:cnfStyle w:val="000000100000" w:firstRow="0" w:lastRow="0" w:firstColumn="0" w:lastColumn="0" w:oddVBand="0" w:evenVBand="0" w:oddHBand="1" w:evenHBand="0" w:firstRowFirstColumn="0" w:firstRowLastColumn="0" w:lastRowFirstColumn="0" w:lastRowLastColumn="0"/>
              <w:rPr>
                <w:b/>
              </w:rPr>
            </w:pPr>
            <w:r w:rsidRPr="006A695B">
              <w:rPr>
                <w:b/>
              </w:rPr>
              <w:t>Medium</w:t>
            </w:r>
          </w:p>
        </w:tc>
        <w:tc>
          <w:tcPr>
            <w:tcW w:w="0" w:type="auto"/>
            <w:tcBorders>
              <w:bottom w:val="single" w:sz="4" w:space="0" w:color="auto"/>
            </w:tcBorders>
          </w:tcPr>
          <w:p w:rsidR="00D24712" w:rsidRPr="006A695B" w:rsidRDefault="00D24712" w:rsidP="00CF692C">
            <w:pPr>
              <w:jc w:val="center"/>
              <w:cnfStyle w:val="000000100000" w:firstRow="0" w:lastRow="0" w:firstColumn="0" w:lastColumn="0" w:oddVBand="0" w:evenVBand="0" w:oddHBand="1" w:evenHBand="0" w:firstRowFirstColumn="0" w:firstRowLastColumn="0" w:lastRowFirstColumn="0" w:lastRowLastColumn="0"/>
              <w:rPr>
                <w:b/>
              </w:rPr>
            </w:pPr>
            <w:r w:rsidRPr="006A695B">
              <w:rPr>
                <w:b/>
              </w:rPr>
              <w:t>Excellent</w:t>
            </w:r>
          </w:p>
        </w:tc>
      </w:tr>
      <w:tr w:rsidR="00D24712" w:rsidTr="00473F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D24712" w:rsidRDefault="00D24712" w:rsidP="00CF692C">
            <w:pPr>
              <w:jc w:val="center"/>
            </w:pPr>
            <w:r>
              <w:t>OGSC</w:t>
            </w:r>
          </w:p>
        </w:tc>
        <w:tc>
          <w:tcPr>
            <w:tcW w:w="0" w:type="auto"/>
            <w:tcBorders>
              <w:top w:val="single" w:sz="4" w:space="0" w:color="auto"/>
            </w:tcBorders>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Not recommended</w:t>
            </w:r>
          </w:p>
        </w:tc>
        <w:tc>
          <w:tcPr>
            <w:tcW w:w="0" w:type="auto"/>
            <w:tcBorders>
              <w:top w:val="single" w:sz="4" w:space="0" w:color="auto"/>
            </w:tcBorders>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6-year life span</w:t>
            </w:r>
          </w:p>
        </w:tc>
        <w:tc>
          <w:tcPr>
            <w:tcW w:w="0" w:type="auto"/>
            <w:tcBorders>
              <w:top w:val="single" w:sz="4" w:space="0" w:color="auto"/>
            </w:tcBorders>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7-year life span</w:t>
            </w:r>
          </w:p>
        </w:tc>
      </w:tr>
      <w:tr w:rsidR="00D24712" w:rsidTr="00473F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24712" w:rsidRDefault="00D24712" w:rsidP="00CF692C">
            <w:pPr>
              <w:jc w:val="center"/>
            </w:pPr>
            <w:r>
              <w:t>SMA</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5-year life span</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Over 8-year life span</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Over 8-year life span</w:t>
            </w:r>
          </w:p>
        </w:tc>
      </w:tr>
      <w:tr w:rsidR="00D24712" w:rsidTr="00473F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24712" w:rsidRDefault="00D24712" w:rsidP="00CF692C">
            <w:pPr>
              <w:jc w:val="center"/>
            </w:pPr>
            <w:r>
              <w:t>Bonded</w:t>
            </w:r>
          </w:p>
        </w:tc>
        <w:tc>
          <w:tcPr>
            <w:tcW w:w="0" w:type="auto"/>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Not recommended</w:t>
            </w:r>
          </w:p>
        </w:tc>
        <w:tc>
          <w:tcPr>
            <w:tcW w:w="0" w:type="auto"/>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5-year life span</w:t>
            </w:r>
          </w:p>
        </w:tc>
        <w:tc>
          <w:tcPr>
            <w:tcW w:w="0" w:type="auto"/>
          </w:tcPr>
          <w:p w:rsidR="00D24712" w:rsidRDefault="00D24712" w:rsidP="00CF692C">
            <w:pPr>
              <w:cnfStyle w:val="000000010000" w:firstRow="0" w:lastRow="0" w:firstColumn="0" w:lastColumn="0" w:oddVBand="0" w:evenVBand="0" w:oddHBand="0" w:evenHBand="1" w:firstRowFirstColumn="0" w:firstRowLastColumn="0" w:lastRowFirstColumn="0" w:lastRowLastColumn="0"/>
            </w:pPr>
            <w:r>
              <w:t>Over 8-year life span</w:t>
            </w:r>
          </w:p>
        </w:tc>
      </w:tr>
      <w:tr w:rsidR="00D24712" w:rsidTr="00473F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24712" w:rsidRDefault="00D24712" w:rsidP="00CF692C">
            <w:pPr>
              <w:jc w:val="center"/>
            </w:pPr>
            <w:r>
              <w:t>Dense Graded</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3-year life span</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6-year life span</w:t>
            </w:r>
          </w:p>
        </w:tc>
        <w:tc>
          <w:tcPr>
            <w:tcW w:w="0" w:type="auto"/>
          </w:tcPr>
          <w:p w:rsidR="00D24712" w:rsidRDefault="00D24712" w:rsidP="00CF692C">
            <w:pPr>
              <w:cnfStyle w:val="000000100000" w:firstRow="0" w:lastRow="0" w:firstColumn="0" w:lastColumn="0" w:oddVBand="0" w:evenVBand="0" w:oddHBand="1" w:evenHBand="0" w:firstRowFirstColumn="0" w:firstRowLastColumn="0" w:lastRowFirstColumn="0" w:lastRowLastColumn="0"/>
            </w:pPr>
            <w:r>
              <w:t>Over 8-year life span</w:t>
            </w:r>
          </w:p>
        </w:tc>
      </w:tr>
    </w:tbl>
    <w:p w:rsidR="00D24712" w:rsidRDefault="00D24712" w:rsidP="00D24712">
      <w:pPr>
        <w:ind w:firstLine="720"/>
      </w:pPr>
      <w:r>
        <w:t>* Road condition will be defined based on most adequate parameter (e.g., PCI, IRI)</w:t>
      </w:r>
    </w:p>
    <w:p w:rsidR="00D24712" w:rsidRDefault="00D24712" w:rsidP="00D24712">
      <w:pPr>
        <w:ind w:firstLine="720"/>
      </w:pPr>
      <w:r>
        <w:t>* Table might include traffic levels</w:t>
      </w:r>
    </w:p>
    <w:p w:rsidR="00C8392D" w:rsidRDefault="00C8392D" w:rsidP="00D24712">
      <w:pPr>
        <w:ind w:firstLine="720"/>
      </w:pPr>
      <w:r>
        <w:t>* Early failures will be identified</w:t>
      </w:r>
    </w:p>
    <w:p w:rsidR="00D24712" w:rsidRDefault="00D24712" w:rsidP="007A6340">
      <w:pPr>
        <w:rPr>
          <w:rFonts w:eastAsia="Times New Roman" w:cs="Times New Roman"/>
          <w:color w:val="000000"/>
          <w:szCs w:val="24"/>
        </w:rPr>
      </w:pPr>
    </w:p>
    <w:p w:rsidR="002C46A4" w:rsidRDefault="002C46A4" w:rsidP="007A6340">
      <w:pPr>
        <w:rPr>
          <w:b/>
        </w:rPr>
      </w:pPr>
    </w:p>
    <w:p w:rsidR="007A6340" w:rsidRPr="007A6340" w:rsidRDefault="007A6340" w:rsidP="007A6340">
      <w:pPr>
        <w:rPr>
          <w:b/>
        </w:rPr>
      </w:pPr>
      <w:r w:rsidRPr="007A6340">
        <w:rPr>
          <w:b/>
        </w:rPr>
        <w:t>Relevance to Strategic Goals:</w:t>
      </w:r>
    </w:p>
    <w:p w:rsidR="00D24712" w:rsidRDefault="007A6340" w:rsidP="007A6340">
      <w:pPr>
        <w:rPr>
          <w:rFonts w:eastAsia="Times New Roman" w:cs="Times New Roman"/>
          <w:color w:val="000000"/>
          <w:szCs w:val="24"/>
        </w:rPr>
      </w:pPr>
      <w:r w:rsidRPr="00347DAB">
        <w:rPr>
          <w:rFonts w:eastAsia="Times New Roman" w:cs="Times New Roman"/>
          <w:color w:val="000000"/>
          <w:szCs w:val="24"/>
        </w:rPr>
        <w:t>State of Good Repair</w:t>
      </w:r>
      <w:r w:rsidR="00D24712">
        <w:rPr>
          <w:rFonts w:eastAsia="Times New Roman" w:cs="Times New Roman"/>
          <w:color w:val="000000"/>
          <w:szCs w:val="24"/>
        </w:rPr>
        <w:t xml:space="preserve"> is the first strategic goal </w:t>
      </w:r>
      <w:r w:rsidR="002C46A4">
        <w:rPr>
          <w:rFonts w:eastAsia="Times New Roman" w:cs="Times New Roman"/>
          <w:color w:val="000000"/>
          <w:szCs w:val="24"/>
        </w:rPr>
        <w:t>of this program.  It is one that is</w:t>
      </w:r>
      <w:r w:rsidR="00D24712">
        <w:rPr>
          <w:rFonts w:eastAsia="Times New Roman" w:cs="Times New Roman"/>
          <w:color w:val="000000"/>
          <w:szCs w:val="24"/>
        </w:rPr>
        <w:t xml:space="preserve"> directly linked to this project.  </w:t>
      </w:r>
      <w:r w:rsidR="002C46A4">
        <w:rPr>
          <w:rFonts w:eastAsia="Times New Roman" w:cs="Times New Roman"/>
          <w:color w:val="000000"/>
          <w:szCs w:val="24"/>
        </w:rPr>
        <w:t xml:space="preserve">By selecting the appropriate surface treatment, state agencies can </w:t>
      </w:r>
      <w:r w:rsidR="00473F6A">
        <w:rPr>
          <w:rFonts w:eastAsia="Times New Roman" w:cs="Times New Roman"/>
          <w:color w:val="000000"/>
          <w:szCs w:val="24"/>
        </w:rPr>
        <w:t>prevent premature failures of their road surface</w:t>
      </w:r>
      <w:r w:rsidR="00AC0C6E">
        <w:rPr>
          <w:rFonts w:eastAsia="Times New Roman" w:cs="Times New Roman"/>
          <w:color w:val="000000"/>
          <w:szCs w:val="24"/>
        </w:rPr>
        <w:t>s</w:t>
      </w:r>
      <w:r w:rsidR="00473F6A">
        <w:rPr>
          <w:rFonts w:eastAsia="Times New Roman" w:cs="Times New Roman"/>
          <w:color w:val="000000"/>
          <w:szCs w:val="24"/>
        </w:rPr>
        <w:t xml:space="preserve"> thus </w:t>
      </w:r>
      <w:r w:rsidR="002C46A4">
        <w:rPr>
          <w:rFonts w:eastAsia="Times New Roman" w:cs="Times New Roman"/>
          <w:color w:val="000000"/>
          <w:szCs w:val="24"/>
        </w:rPr>
        <w:t>better serv</w:t>
      </w:r>
      <w:r w:rsidR="00473F6A">
        <w:rPr>
          <w:rFonts w:eastAsia="Times New Roman" w:cs="Times New Roman"/>
          <w:color w:val="000000"/>
          <w:szCs w:val="24"/>
        </w:rPr>
        <w:t>ing</w:t>
      </w:r>
      <w:r w:rsidR="002C46A4">
        <w:rPr>
          <w:rFonts w:eastAsia="Times New Roman" w:cs="Times New Roman"/>
          <w:color w:val="000000"/>
          <w:szCs w:val="24"/>
        </w:rPr>
        <w:t xml:space="preserve"> the traveling public and maintain their economic competitiveness that comes with </w:t>
      </w:r>
      <w:r w:rsidR="00473F6A">
        <w:rPr>
          <w:rFonts w:eastAsia="Times New Roman" w:cs="Times New Roman"/>
          <w:color w:val="000000"/>
          <w:szCs w:val="24"/>
        </w:rPr>
        <w:t>fewer</w:t>
      </w:r>
      <w:r w:rsidR="002C46A4">
        <w:rPr>
          <w:rFonts w:eastAsia="Times New Roman" w:cs="Times New Roman"/>
          <w:color w:val="000000"/>
          <w:szCs w:val="24"/>
        </w:rPr>
        <w:t xml:space="preserve"> </w:t>
      </w:r>
      <w:r w:rsidR="00473F6A">
        <w:rPr>
          <w:rFonts w:eastAsia="Times New Roman" w:cs="Times New Roman"/>
          <w:color w:val="000000"/>
          <w:szCs w:val="24"/>
        </w:rPr>
        <w:t xml:space="preserve">and less often surface repairs </w:t>
      </w:r>
      <w:r w:rsidR="002C46A4">
        <w:rPr>
          <w:rFonts w:eastAsia="Times New Roman" w:cs="Times New Roman"/>
          <w:color w:val="000000"/>
          <w:szCs w:val="24"/>
        </w:rPr>
        <w:t>and better access to goods and services.</w:t>
      </w:r>
    </w:p>
    <w:p w:rsidR="007A6340" w:rsidRDefault="007A6340" w:rsidP="007A6340"/>
    <w:p w:rsidR="007A6340" w:rsidRPr="007A6340" w:rsidRDefault="007A6340" w:rsidP="007A6340">
      <w:pPr>
        <w:rPr>
          <w:b/>
        </w:rPr>
      </w:pPr>
      <w:r w:rsidRPr="007A6340">
        <w:rPr>
          <w:b/>
        </w:rPr>
        <w:t>Educational Benefits:</w:t>
      </w:r>
    </w:p>
    <w:p w:rsidR="007A6340" w:rsidRDefault="00170C65" w:rsidP="007A6340">
      <w:pPr>
        <w:rPr>
          <w:rFonts w:eastAsia="Times New Roman" w:cs="Times New Roman"/>
          <w:color w:val="000000"/>
          <w:szCs w:val="24"/>
        </w:rPr>
      </w:pPr>
      <w:r>
        <w:rPr>
          <w:rFonts w:eastAsia="Times New Roman" w:cs="Times New Roman"/>
          <w:color w:val="000000"/>
          <w:szCs w:val="24"/>
        </w:rPr>
        <w:t xml:space="preserve">This project will allow funding for at least one undergraduate student and one graduate student.  These students will benefit not only from the funding </w:t>
      </w:r>
      <w:proofErr w:type="gramStart"/>
      <w:r>
        <w:rPr>
          <w:rFonts w:eastAsia="Times New Roman" w:cs="Times New Roman"/>
          <w:color w:val="000000"/>
          <w:szCs w:val="24"/>
        </w:rPr>
        <w:t>but</w:t>
      </w:r>
      <w:proofErr w:type="gramEnd"/>
      <w:r>
        <w:rPr>
          <w:rFonts w:eastAsia="Times New Roman" w:cs="Times New Roman"/>
          <w:color w:val="000000"/>
          <w:szCs w:val="24"/>
        </w:rPr>
        <w:t xml:space="preserve"> from the hands-on research in the transportation area.</w:t>
      </w:r>
    </w:p>
    <w:p w:rsidR="007A6340" w:rsidRDefault="007A6340" w:rsidP="007A6340"/>
    <w:p w:rsidR="007A6340" w:rsidRPr="007A6340" w:rsidRDefault="007A6340" w:rsidP="007A6340">
      <w:pPr>
        <w:rPr>
          <w:b/>
        </w:rPr>
      </w:pPr>
      <w:r w:rsidRPr="007A6340">
        <w:rPr>
          <w:b/>
        </w:rPr>
        <w:t>Work Plan:</w:t>
      </w:r>
    </w:p>
    <w:p w:rsidR="000A1588" w:rsidRDefault="000A1588" w:rsidP="007A6340">
      <w:pPr>
        <w:rPr>
          <w:rFonts w:eastAsia="Times New Roman" w:cs="Times New Roman"/>
          <w:color w:val="000000"/>
          <w:szCs w:val="24"/>
        </w:rPr>
      </w:pPr>
      <w:r>
        <w:rPr>
          <w:rFonts w:eastAsia="Times New Roman" w:cs="Times New Roman"/>
          <w:color w:val="000000"/>
          <w:szCs w:val="24"/>
        </w:rPr>
        <w:t>A description of the proposed tasks is shown on the Research Methods section.  The following timeline is expected</w:t>
      </w:r>
      <w:r w:rsidR="00C8392D">
        <w:rPr>
          <w:rFonts w:eastAsia="Times New Roman" w:cs="Times New Roman"/>
          <w:color w:val="000000"/>
          <w:szCs w:val="24"/>
        </w:rPr>
        <w:t xml:space="preserve"> for this project.  Field data will be collected during the construction season that usually runs from April to O</w:t>
      </w:r>
      <w:r w:rsidR="00473F6A">
        <w:rPr>
          <w:rFonts w:eastAsia="Times New Roman" w:cs="Times New Roman"/>
          <w:color w:val="000000"/>
          <w:szCs w:val="24"/>
        </w:rPr>
        <w:t xml:space="preserve">ctober (depending on weather). </w:t>
      </w:r>
    </w:p>
    <w:p w:rsidR="000A1588" w:rsidRDefault="000A1588" w:rsidP="007A6340">
      <w:pPr>
        <w:rPr>
          <w:rFonts w:eastAsia="Times New Roman" w:cs="Times New Roman"/>
          <w:color w:val="000000"/>
          <w:szCs w:val="24"/>
        </w:rPr>
      </w:pPr>
    </w:p>
    <w:tbl>
      <w:tblPr>
        <w:tblStyle w:val="TableGrid"/>
        <w:tblW w:w="0" w:type="auto"/>
        <w:jc w:val="center"/>
        <w:tblLook w:val="04A0" w:firstRow="1" w:lastRow="0" w:firstColumn="1" w:lastColumn="0" w:noHBand="0" w:noVBand="1"/>
      </w:tblPr>
      <w:tblGrid>
        <w:gridCol w:w="1423"/>
        <w:gridCol w:w="336"/>
        <w:gridCol w:w="456"/>
        <w:gridCol w:w="456"/>
        <w:gridCol w:w="336"/>
        <w:gridCol w:w="336"/>
      </w:tblGrid>
      <w:tr w:rsidR="000D01E7" w:rsidTr="000D01E7">
        <w:trPr>
          <w:jc w:val="center"/>
        </w:trPr>
        <w:tc>
          <w:tcPr>
            <w:tcW w:w="0" w:type="auto"/>
          </w:tcPr>
          <w:p w:rsidR="000D01E7" w:rsidRDefault="000D01E7" w:rsidP="007A6340">
            <w:pPr>
              <w:rPr>
                <w:rFonts w:eastAsia="Times New Roman" w:cs="Times New Roman"/>
                <w:color w:val="000000"/>
                <w:szCs w:val="24"/>
              </w:rPr>
            </w:pPr>
          </w:p>
        </w:tc>
        <w:tc>
          <w:tcPr>
            <w:tcW w:w="0" w:type="auto"/>
            <w:gridSpan w:val="5"/>
            <w:tcBorders>
              <w:bottom w:val="single" w:sz="4" w:space="0" w:color="auto"/>
            </w:tcBorders>
          </w:tcPr>
          <w:p w:rsidR="000D01E7" w:rsidRDefault="000D01E7" w:rsidP="000D01E7">
            <w:pPr>
              <w:jc w:val="center"/>
              <w:rPr>
                <w:rFonts w:eastAsia="Times New Roman" w:cs="Times New Roman"/>
                <w:color w:val="000000"/>
                <w:szCs w:val="24"/>
              </w:rPr>
            </w:pPr>
            <w:r>
              <w:rPr>
                <w:rFonts w:eastAsia="Times New Roman" w:cs="Times New Roman"/>
                <w:color w:val="000000"/>
                <w:szCs w:val="24"/>
              </w:rPr>
              <w:t>Quarter</w:t>
            </w:r>
          </w:p>
        </w:tc>
      </w:tr>
      <w:tr w:rsidR="000A1588" w:rsidTr="000A1588">
        <w:trPr>
          <w:jc w:val="center"/>
        </w:trPr>
        <w:tc>
          <w:tcPr>
            <w:tcW w:w="0" w:type="auto"/>
          </w:tcPr>
          <w:p w:rsidR="000A1588" w:rsidRDefault="000A1588" w:rsidP="007A6340">
            <w:pPr>
              <w:rPr>
                <w:rFonts w:eastAsia="Times New Roman" w:cs="Times New Roman"/>
                <w:color w:val="000000"/>
                <w:szCs w:val="24"/>
              </w:rPr>
            </w:pPr>
          </w:p>
        </w:tc>
        <w:tc>
          <w:tcPr>
            <w:tcW w:w="0" w:type="auto"/>
            <w:tcBorders>
              <w:bottom w:val="single" w:sz="4" w:space="0" w:color="auto"/>
            </w:tcBorders>
          </w:tcPr>
          <w:p w:rsidR="000A1588" w:rsidRDefault="000D01E7" w:rsidP="007A6340">
            <w:pPr>
              <w:rPr>
                <w:rFonts w:eastAsia="Times New Roman" w:cs="Times New Roman"/>
                <w:color w:val="000000"/>
                <w:szCs w:val="24"/>
              </w:rPr>
            </w:pPr>
            <w:r>
              <w:rPr>
                <w:rFonts w:eastAsia="Times New Roman" w:cs="Times New Roman"/>
                <w:color w:val="000000"/>
                <w:szCs w:val="24"/>
              </w:rPr>
              <w:t>1</w:t>
            </w:r>
          </w:p>
        </w:tc>
        <w:tc>
          <w:tcPr>
            <w:tcW w:w="0" w:type="auto"/>
          </w:tcPr>
          <w:p w:rsidR="000A1588" w:rsidRDefault="000A1588" w:rsidP="007A6340">
            <w:pPr>
              <w:rPr>
                <w:rFonts w:eastAsia="Times New Roman" w:cs="Times New Roman"/>
                <w:color w:val="000000"/>
                <w:szCs w:val="24"/>
              </w:rPr>
            </w:pPr>
            <w:r>
              <w:rPr>
                <w:rFonts w:eastAsia="Times New Roman" w:cs="Times New Roman"/>
                <w:color w:val="000000"/>
                <w:szCs w:val="24"/>
              </w:rPr>
              <w:t>2*</w:t>
            </w:r>
          </w:p>
        </w:tc>
        <w:tc>
          <w:tcPr>
            <w:tcW w:w="0" w:type="auto"/>
          </w:tcPr>
          <w:p w:rsidR="000A1588" w:rsidRDefault="000A1588" w:rsidP="007A6340">
            <w:pPr>
              <w:rPr>
                <w:rFonts w:eastAsia="Times New Roman" w:cs="Times New Roman"/>
                <w:color w:val="000000"/>
                <w:szCs w:val="24"/>
              </w:rPr>
            </w:pPr>
            <w:r>
              <w:rPr>
                <w:rFonts w:eastAsia="Times New Roman" w:cs="Times New Roman"/>
                <w:color w:val="000000"/>
                <w:szCs w:val="24"/>
              </w:rPr>
              <w:t>3*</w:t>
            </w:r>
          </w:p>
        </w:tc>
        <w:tc>
          <w:tcPr>
            <w:tcW w:w="0" w:type="auto"/>
          </w:tcPr>
          <w:p w:rsidR="000A1588" w:rsidRDefault="000A1588" w:rsidP="007A6340">
            <w:pPr>
              <w:rPr>
                <w:rFonts w:eastAsia="Times New Roman" w:cs="Times New Roman"/>
                <w:color w:val="000000"/>
                <w:szCs w:val="24"/>
              </w:rPr>
            </w:pPr>
            <w:r>
              <w:rPr>
                <w:rFonts w:eastAsia="Times New Roman" w:cs="Times New Roman"/>
                <w:color w:val="000000"/>
                <w:szCs w:val="24"/>
              </w:rPr>
              <w:t>4</w:t>
            </w:r>
          </w:p>
        </w:tc>
        <w:tc>
          <w:tcPr>
            <w:tcW w:w="0" w:type="auto"/>
          </w:tcPr>
          <w:p w:rsidR="000A1588" w:rsidRDefault="000A1588" w:rsidP="007A6340">
            <w:pPr>
              <w:rPr>
                <w:rFonts w:eastAsia="Times New Roman" w:cs="Times New Roman"/>
                <w:color w:val="000000"/>
                <w:szCs w:val="24"/>
              </w:rPr>
            </w:pPr>
            <w:r>
              <w:rPr>
                <w:rFonts w:eastAsia="Times New Roman" w:cs="Times New Roman"/>
                <w:color w:val="000000"/>
                <w:szCs w:val="24"/>
              </w:rPr>
              <w:t>5</w:t>
            </w: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Task 1</w:t>
            </w:r>
          </w:p>
        </w:tc>
        <w:tc>
          <w:tcPr>
            <w:tcW w:w="0" w:type="auto"/>
            <w:shd w:val="clear" w:color="auto" w:fill="C00000"/>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Task 2</w:t>
            </w:r>
          </w:p>
        </w:tc>
        <w:tc>
          <w:tcPr>
            <w:tcW w:w="0" w:type="auto"/>
            <w:shd w:val="clear" w:color="auto" w:fill="C00000"/>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Borders>
              <w:bottom w:val="single" w:sz="4" w:space="0" w:color="auto"/>
            </w:tcBorders>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Task 3</w:t>
            </w:r>
          </w:p>
        </w:tc>
        <w:tc>
          <w:tcPr>
            <w:tcW w:w="0" w:type="auto"/>
          </w:tcPr>
          <w:p w:rsidR="000A1588" w:rsidRDefault="000A1588" w:rsidP="007A6340">
            <w:pPr>
              <w:rPr>
                <w:rFonts w:eastAsia="Times New Roman" w:cs="Times New Roman"/>
                <w:color w:val="000000"/>
                <w:szCs w:val="24"/>
              </w:rPr>
            </w:pPr>
          </w:p>
        </w:tc>
        <w:tc>
          <w:tcPr>
            <w:tcW w:w="0" w:type="auto"/>
            <w:shd w:val="clear" w:color="auto" w:fill="C00000"/>
          </w:tcPr>
          <w:p w:rsidR="000A1588" w:rsidRDefault="000A1588" w:rsidP="007A6340">
            <w:pPr>
              <w:rPr>
                <w:rFonts w:eastAsia="Times New Roman" w:cs="Times New Roman"/>
                <w:color w:val="000000"/>
                <w:szCs w:val="24"/>
              </w:rPr>
            </w:pPr>
          </w:p>
        </w:tc>
        <w:tc>
          <w:tcPr>
            <w:tcW w:w="0" w:type="auto"/>
            <w:shd w:val="clear" w:color="auto" w:fill="C00000"/>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Task 4</w:t>
            </w: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shd w:val="clear" w:color="auto" w:fill="C00000"/>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Task 5</w:t>
            </w: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shd w:val="clear" w:color="auto" w:fill="C00000"/>
          </w:tcPr>
          <w:p w:rsidR="000A1588" w:rsidRDefault="000A1588" w:rsidP="007A6340">
            <w:pPr>
              <w:rPr>
                <w:rFonts w:eastAsia="Times New Roman" w:cs="Times New Roman"/>
                <w:color w:val="000000"/>
                <w:szCs w:val="24"/>
              </w:rPr>
            </w:pPr>
          </w:p>
        </w:tc>
        <w:tc>
          <w:tcPr>
            <w:tcW w:w="0" w:type="auto"/>
            <w:tcBorders>
              <w:bottom w:val="single" w:sz="4" w:space="0" w:color="auto"/>
            </w:tcBorders>
          </w:tcPr>
          <w:p w:rsidR="000A1588" w:rsidRDefault="000A1588" w:rsidP="007A6340">
            <w:pPr>
              <w:rPr>
                <w:rFonts w:eastAsia="Times New Roman" w:cs="Times New Roman"/>
                <w:color w:val="000000"/>
                <w:szCs w:val="24"/>
              </w:rPr>
            </w:pPr>
          </w:p>
        </w:tc>
      </w:tr>
      <w:tr w:rsidR="000A1588" w:rsidTr="000A1588">
        <w:trPr>
          <w:jc w:val="center"/>
        </w:trPr>
        <w:tc>
          <w:tcPr>
            <w:tcW w:w="0" w:type="auto"/>
          </w:tcPr>
          <w:p w:rsidR="000A1588" w:rsidRDefault="000A1588" w:rsidP="000A1588">
            <w:pPr>
              <w:jc w:val="center"/>
              <w:rPr>
                <w:rFonts w:eastAsia="Times New Roman" w:cs="Times New Roman"/>
                <w:color w:val="000000"/>
                <w:szCs w:val="24"/>
              </w:rPr>
            </w:pPr>
            <w:r>
              <w:rPr>
                <w:rFonts w:eastAsia="Times New Roman" w:cs="Times New Roman"/>
                <w:color w:val="000000"/>
                <w:szCs w:val="24"/>
              </w:rPr>
              <w:t>Final Report</w:t>
            </w: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tcPr>
          <w:p w:rsidR="000A1588" w:rsidRDefault="000A1588" w:rsidP="007A6340">
            <w:pPr>
              <w:rPr>
                <w:rFonts w:eastAsia="Times New Roman" w:cs="Times New Roman"/>
                <w:color w:val="000000"/>
                <w:szCs w:val="24"/>
              </w:rPr>
            </w:pPr>
          </w:p>
        </w:tc>
        <w:tc>
          <w:tcPr>
            <w:tcW w:w="0" w:type="auto"/>
            <w:shd w:val="clear" w:color="auto" w:fill="C00000"/>
          </w:tcPr>
          <w:p w:rsidR="000A1588" w:rsidRDefault="000A1588" w:rsidP="007A6340">
            <w:pPr>
              <w:rPr>
                <w:rFonts w:eastAsia="Times New Roman" w:cs="Times New Roman"/>
                <w:color w:val="000000"/>
                <w:szCs w:val="24"/>
              </w:rPr>
            </w:pPr>
          </w:p>
        </w:tc>
      </w:tr>
    </w:tbl>
    <w:p w:rsidR="000A1588" w:rsidRPr="000A1588" w:rsidRDefault="000A1588" w:rsidP="000A1588">
      <w:pPr>
        <w:ind w:left="720" w:firstLine="720"/>
        <w:rPr>
          <w:rFonts w:eastAsia="Times New Roman" w:cs="Times New Roman"/>
          <w:color w:val="000000"/>
          <w:szCs w:val="24"/>
        </w:rPr>
      </w:pPr>
      <w:r w:rsidRPr="000A1588">
        <w:rPr>
          <w:rFonts w:eastAsia="Times New Roman" w:cs="Times New Roman"/>
          <w:color w:val="000000"/>
          <w:szCs w:val="24"/>
        </w:rPr>
        <w:t>*</w:t>
      </w:r>
      <w:r>
        <w:rPr>
          <w:rFonts w:eastAsia="Times New Roman" w:cs="Times New Roman"/>
          <w:color w:val="000000"/>
          <w:szCs w:val="24"/>
        </w:rPr>
        <w:t xml:space="preserve"> Data collection must correspond to construction season</w:t>
      </w:r>
    </w:p>
    <w:p w:rsidR="000A1588" w:rsidRDefault="000A1588" w:rsidP="007A6340">
      <w:pPr>
        <w:rPr>
          <w:rFonts w:eastAsia="Times New Roman" w:cs="Times New Roman"/>
          <w:color w:val="000000"/>
          <w:szCs w:val="24"/>
        </w:rPr>
      </w:pPr>
    </w:p>
    <w:p w:rsidR="007A6340" w:rsidRDefault="00290519" w:rsidP="007A6340">
      <w:r>
        <w:t>At the end of this project, a report will be issue describing the short-term performance of the different surface treatments evaluated.  Recommendations will be made to continue the monitoring the sections to determine their long-term performance.</w:t>
      </w:r>
    </w:p>
    <w:p w:rsidR="00473F6A" w:rsidRDefault="00473F6A">
      <w:pPr>
        <w:spacing w:after="200" w:line="276" w:lineRule="auto"/>
        <w:rPr>
          <w:b/>
        </w:rPr>
      </w:pPr>
      <w:r>
        <w:rPr>
          <w:b/>
        </w:rPr>
        <w:lastRenderedPageBreak/>
        <w:br w:type="page"/>
      </w:r>
    </w:p>
    <w:p w:rsidR="007A6340" w:rsidRDefault="00073055" w:rsidP="007A6340">
      <w:pPr>
        <w:rPr>
          <w:b/>
        </w:rPr>
      </w:pPr>
      <w:r w:rsidRPr="00073055">
        <w:rPr>
          <w:b/>
        </w:rPr>
        <w:lastRenderedPageBreak/>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290519">
        <w:rPr>
          <w:rFonts w:eastAsia="Times New Roman" w:cs="Times New Roman"/>
          <w:color w:val="000000"/>
          <w:szCs w:val="24"/>
        </w:rPr>
        <w:t>83,960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290519">
        <w:rPr>
          <w:rFonts w:eastAsia="Times New Roman" w:cs="Times New Roman"/>
          <w:color w:val="000000"/>
          <w:szCs w:val="24"/>
        </w:rPr>
        <w:t>25,000</w:t>
      </w:r>
    </w:p>
    <w:p w:rsidR="00290519" w:rsidRDefault="005F7860" w:rsidP="005F7860">
      <w:pPr>
        <w:rPr>
          <w:rFonts w:eastAsia="Times New Roman" w:cs="Times New Roman"/>
          <w:color w:val="000000"/>
          <w:szCs w:val="24"/>
        </w:rPr>
      </w:pPr>
      <w:r w:rsidRPr="005F7860">
        <w:rPr>
          <w:rFonts w:eastAsia="Times New Roman" w:cs="Times New Roman"/>
          <w:color w:val="000000"/>
          <w:szCs w:val="24"/>
        </w:rPr>
        <w:t>Matching Funds:  $</w:t>
      </w:r>
      <w:r w:rsidR="00290519">
        <w:rPr>
          <w:rFonts w:eastAsia="Times New Roman" w:cs="Times New Roman"/>
          <w:color w:val="000000"/>
          <w:szCs w:val="24"/>
        </w:rPr>
        <w:t>58,960</w:t>
      </w:r>
      <w:r w:rsidRPr="005F7860">
        <w:rPr>
          <w:rFonts w:eastAsia="Times New Roman" w:cs="Times New Roman"/>
          <w:color w:val="000000"/>
          <w:szCs w:val="24"/>
        </w:rPr>
        <w:t xml:space="preserve">                         </w:t>
      </w:r>
    </w:p>
    <w:p w:rsidR="008C54B4" w:rsidRDefault="005F7860" w:rsidP="005F7860">
      <w:pPr>
        <w:rPr>
          <w:rFonts w:eastAsia="Times New Roman" w:cs="Times New Roman"/>
          <w:color w:val="000000"/>
          <w:szCs w:val="24"/>
        </w:rPr>
      </w:pPr>
      <w:r w:rsidRPr="005F7860">
        <w:rPr>
          <w:rFonts w:eastAsia="Times New Roman" w:cs="Times New Roman"/>
          <w:color w:val="000000"/>
          <w:szCs w:val="24"/>
        </w:rPr>
        <w:t xml:space="preserve">Source of Matching Funds:  </w:t>
      </w:r>
      <w:r w:rsidR="008C54B4">
        <w:rPr>
          <w:rFonts w:eastAsia="Times New Roman" w:cs="Times New Roman"/>
          <w:color w:val="000000"/>
          <w:szCs w:val="24"/>
        </w:rPr>
        <w:tab/>
      </w:r>
      <w:r w:rsidR="00290519">
        <w:rPr>
          <w:rFonts w:eastAsia="Times New Roman" w:cs="Times New Roman"/>
          <w:color w:val="000000"/>
          <w:szCs w:val="24"/>
        </w:rPr>
        <w:t xml:space="preserve">Utah Department of Transportation.  </w:t>
      </w:r>
    </w:p>
    <w:p w:rsidR="005F7860" w:rsidRDefault="00290519" w:rsidP="008C54B4">
      <w:pPr>
        <w:ind w:left="2160" w:firstLine="720"/>
        <w:rPr>
          <w:rFonts w:eastAsia="Times New Roman" w:cs="Times New Roman"/>
          <w:color w:val="000000"/>
          <w:szCs w:val="24"/>
        </w:rPr>
      </w:pPr>
      <w:r>
        <w:rPr>
          <w:rFonts w:eastAsia="Times New Roman" w:cs="Times New Roman"/>
          <w:color w:val="000000"/>
          <w:szCs w:val="24"/>
        </w:rPr>
        <w:t xml:space="preserve">These funds have already </w:t>
      </w:r>
      <w:r w:rsidR="008C54B4">
        <w:rPr>
          <w:rFonts w:eastAsia="Times New Roman" w:cs="Times New Roman"/>
          <w:color w:val="000000"/>
          <w:szCs w:val="24"/>
        </w:rPr>
        <w:t>been allocated for this project</w:t>
      </w:r>
    </w:p>
    <w:p w:rsidR="00073055" w:rsidRDefault="00073055" w:rsidP="007A6340">
      <w:pPr>
        <w:rPr>
          <w:rFonts w:eastAsia="Times New Roman" w:cs="Times New Roman"/>
          <w:color w:val="000000"/>
          <w:szCs w:val="24"/>
        </w:rPr>
      </w:pPr>
    </w:p>
    <w:p w:rsidR="008C54B4" w:rsidRDefault="008C54B4" w:rsidP="008C54B4">
      <w:pPr>
        <w:rPr>
          <w:rFonts w:eastAsia="Times New Roman" w:cs="Times New Roman"/>
          <w:color w:val="000000"/>
          <w:szCs w:val="24"/>
        </w:rPr>
      </w:pPr>
      <w:r>
        <w:rPr>
          <w:rFonts w:eastAsia="Times New Roman" w:cs="Times New Roman"/>
          <w:color w:val="000000"/>
          <w:szCs w:val="24"/>
        </w:rPr>
        <w:t>MPC f</w:t>
      </w:r>
      <w:r w:rsidR="00993B6B">
        <w:rPr>
          <w:rFonts w:eastAsia="Times New Roman" w:cs="Times New Roman"/>
          <w:color w:val="000000"/>
          <w:szCs w:val="24"/>
        </w:rPr>
        <w:t>unding will allow expanding the scope of the project by allowing for one graduate student and half a month of summer salary for the PI.  It will also allow a trip to the Transportation Research Board Meeting (TRB) or similar to allow for data dissemination.</w:t>
      </w:r>
    </w:p>
    <w:p w:rsidR="00290519" w:rsidRDefault="00290519" w:rsidP="007A6340">
      <w:pPr>
        <w:rPr>
          <w:rFonts w:eastAsia="Times New Roman" w:cs="Times New Roman"/>
          <w:color w:val="000000"/>
          <w:szCs w:val="24"/>
        </w:rPr>
      </w:pPr>
    </w:p>
    <w:p w:rsidR="00073055" w:rsidRPr="00073055" w:rsidRDefault="00073055" w:rsidP="007A6340">
      <w:pPr>
        <w:rPr>
          <w:b/>
        </w:rPr>
      </w:pPr>
      <w:r w:rsidRPr="00073055">
        <w:rPr>
          <w:b/>
        </w:rPr>
        <w:t>TRB Keywords:</w:t>
      </w:r>
      <w:r w:rsidR="008C54B4">
        <w:rPr>
          <w:b/>
        </w:rPr>
        <w:t xml:space="preserve"> </w:t>
      </w:r>
      <w:r w:rsidR="008C54B4" w:rsidRPr="00BC6C24">
        <w:t xml:space="preserve">SMA, Surface Treatments, </w:t>
      </w:r>
      <w:proofErr w:type="gramStart"/>
      <w:r w:rsidR="008C54B4" w:rsidRPr="00BC6C24">
        <w:t>Pavement</w:t>
      </w:r>
      <w:proofErr w:type="gramEnd"/>
      <w:r w:rsidR="008C54B4" w:rsidRPr="00BC6C24">
        <w:t xml:space="preserve"> Maintenance</w:t>
      </w:r>
    </w:p>
    <w:p w:rsidR="00073055" w:rsidRDefault="00073055" w:rsidP="007A6340"/>
    <w:p w:rsidR="00073055" w:rsidRDefault="00073055" w:rsidP="007A6340">
      <w:pPr>
        <w:rPr>
          <w:b/>
        </w:rPr>
      </w:pPr>
    </w:p>
    <w:p w:rsidR="00073055" w:rsidRDefault="00073055" w:rsidP="007A6340">
      <w:pPr>
        <w:rPr>
          <w:b/>
        </w:rPr>
      </w:pPr>
    </w:p>
    <w:sectPr w:rsidR="00073055" w:rsidSect="001F5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19" w:rsidRDefault="004D4819" w:rsidP="00BB0B66">
      <w:r>
        <w:separator/>
      </w:r>
    </w:p>
  </w:endnote>
  <w:endnote w:type="continuationSeparator" w:id="0">
    <w:p w:rsidR="004D4819" w:rsidRDefault="004D481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19" w:rsidRDefault="004D4819" w:rsidP="00BB0B66">
      <w:r>
        <w:separator/>
      </w:r>
    </w:p>
  </w:footnote>
  <w:footnote w:type="continuationSeparator" w:id="0">
    <w:p w:rsidR="004D4819" w:rsidRDefault="004D4819"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041D9"/>
    <w:multiLevelType w:val="hybridMultilevel"/>
    <w:tmpl w:val="CAACAC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572A2"/>
    <w:multiLevelType w:val="hybridMultilevel"/>
    <w:tmpl w:val="9C0C294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82652"/>
    <w:multiLevelType w:val="hybridMultilevel"/>
    <w:tmpl w:val="C29A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22810"/>
    <w:multiLevelType w:val="hybridMultilevel"/>
    <w:tmpl w:val="7B4C891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12086"/>
    <w:rsid w:val="00021C8A"/>
    <w:rsid w:val="000263F1"/>
    <w:rsid w:val="000418A4"/>
    <w:rsid w:val="00063E1A"/>
    <w:rsid w:val="000663F5"/>
    <w:rsid w:val="00073055"/>
    <w:rsid w:val="00085B28"/>
    <w:rsid w:val="0009428F"/>
    <w:rsid w:val="000A1588"/>
    <w:rsid w:val="000C5C74"/>
    <w:rsid w:val="000D01E7"/>
    <w:rsid w:val="000D6F1E"/>
    <w:rsid w:val="00112F6D"/>
    <w:rsid w:val="0011408E"/>
    <w:rsid w:val="00115791"/>
    <w:rsid w:val="00122EA9"/>
    <w:rsid w:val="0013078D"/>
    <w:rsid w:val="00136473"/>
    <w:rsid w:val="00136F81"/>
    <w:rsid w:val="00154B4E"/>
    <w:rsid w:val="00160181"/>
    <w:rsid w:val="00166304"/>
    <w:rsid w:val="00170874"/>
    <w:rsid w:val="00170C65"/>
    <w:rsid w:val="00176303"/>
    <w:rsid w:val="001A262C"/>
    <w:rsid w:val="001F46FE"/>
    <w:rsid w:val="001F58AE"/>
    <w:rsid w:val="002002EA"/>
    <w:rsid w:val="00206592"/>
    <w:rsid w:val="0024286A"/>
    <w:rsid w:val="002549A8"/>
    <w:rsid w:val="00261A37"/>
    <w:rsid w:val="00264CFF"/>
    <w:rsid w:val="002749A5"/>
    <w:rsid w:val="00290519"/>
    <w:rsid w:val="00293EAB"/>
    <w:rsid w:val="002C46A4"/>
    <w:rsid w:val="002F2F60"/>
    <w:rsid w:val="00300B8F"/>
    <w:rsid w:val="003154D2"/>
    <w:rsid w:val="0032031F"/>
    <w:rsid w:val="00347DAB"/>
    <w:rsid w:val="00351F35"/>
    <w:rsid w:val="00353513"/>
    <w:rsid w:val="00401F33"/>
    <w:rsid w:val="00445B2D"/>
    <w:rsid w:val="00471E83"/>
    <w:rsid w:val="00472938"/>
    <w:rsid w:val="00473F6A"/>
    <w:rsid w:val="004C31F0"/>
    <w:rsid w:val="004D4819"/>
    <w:rsid w:val="00527A0B"/>
    <w:rsid w:val="005363CE"/>
    <w:rsid w:val="0056629B"/>
    <w:rsid w:val="005820FE"/>
    <w:rsid w:val="005850DB"/>
    <w:rsid w:val="0059000B"/>
    <w:rsid w:val="005A0AEC"/>
    <w:rsid w:val="005A0E97"/>
    <w:rsid w:val="005A57F5"/>
    <w:rsid w:val="005F1444"/>
    <w:rsid w:val="005F3C93"/>
    <w:rsid w:val="005F7860"/>
    <w:rsid w:val="00631407"/>
    <w:rsid w:val="00655EE3"/>
    <w:rsid w:val="006608A5"/>
    <w:rsid w:val="006710CD"/>
    <w:rsid w:val="006A4261"/>
    <w:rsid w:val="006B0D10"/>
    <w:rsid w:val="006C1C7E"/>
    <w:rsid w:val="006C22E0"/>
    <w:rsid w:val="006C26AD"/>
    <w:rsid w:val="006C7D05"/>
    <w:rsid w:val="006F71C3"/>
    <w:rsid w:val="006F7B58"/>
    <w:rsid w:val="007567F0"/>
    <w:rsid w:val="007651D4"/>
    <w:rsid w:val="007A6340"/>
    <w:rsid w:val="007B3C8C"/>
    <w:rsid w:val="007B6125"/>
    <w:rsid w:val="008036CD"/>
    <w:rsid w:val="00813D58"/>
    <w:rsid w:val="00833D30"/>
    <w:rsid w:val="008C54B4"/>
    <w:rsid w:val="008C734A"/>
    <w:rsid w:val="008C7848"/>
    <w:rsid w:val="008D3C30"/>
    <w:rsid w:val="008E5E55"/>
    <w:rsid w:val="00904C4D"/>
    <w:rsid w:val="0092280C"/>
    <w:rsid w:val="0094082C"/>
    <w:rsid w:val="0097716F"/>
    <w:rsid w:val="009827D2"/>
    <w:rsid w:val="00984DF9"/>
    <w:rsid w:val="00993B6B"/>
    <w:rsid w:val="009C38C9"/>
    <w:rsid w:val="009E1167"/>
    <w:rsid w:val="009E11B3"/>
    <w:rsid w:val="00A1108E"/>
    <w:rsid w:val="00A40283"/>
    <w:rsid w:val="00A47119"/>
    <w:rsid w:val="00A6675B"/>
    <w:rsid w:val="00AC0C6E"/>
    <w:rsid w:val="00AE2F66"/>
    <w:rsid w:val="00B15F93"/>
    <w:rsid w:val="00B161A4"/>
    <w:rsid w:val="00B6152C"/>
    <w:rsid w:val="00B66810"/>
    <w:rsid w:val="00B83072"/>
    <w:rsid w:val="00BB0B66"/>
    <w:rsid w:val="00BC50C2"/>
    <w:rsid w:val="00BC6C24"/>
    <w:rsid w:val="00C041CC"/>
    <w:rsid w:val="00C11729"/>
    <w:rsid w:val="00C17399"/>
    <w:rsid w:val="00C536CB"/>
    <w:rsid w:val="00C8392D"/>
    <w:rsid w:val="00CC0A7D"/>
    <w:rsid w:val="00CD29FB"/>
    <w:rsid w:val="00CD4994"/>
    <w:rsid w:val="00D12393"/>
    <w:rsid w:val="00D24712"/>
    <w:rsid w:val="00DB20A1"/>
    <w:rsid w:val="00DB28E9"/>
    <w:rsid w:val="00DB749D"/>
    <w:rsid w:val="00DC4EE3"/>
    <w:rsid w:val="00DE5C0F"/>
    <w:rsid w:val="00E14811"/>
    <w:rsid w:val="00E65394"/>
    <w:rsid w:val="00E6659F"/>
    <w:rsid w:val="00E714EA"/>
    <w:rsid w:val="00F3615F"/>
    <w:rsid w:val="00F50EFA"/>
    <w:rsid w:val="00F511E2"/>
    <w:rsid w:val="00F75D86"/>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table" w:styleId="MediumShading1-Accent2">
    <w:name w:val="Medium Shading 1 Accent 2"/>
    <w:basedOn w:val="TableNormal"/>
    <w:uiPriority w:val="63"/>
    <w:rsid w:val="00D2471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table" w:styleId="MediumShading1-Accent2">
    <w:name w:val="Medium Shading 1 Accent 2"/>
    <w:basedOn w:val="TableNormal"/>
    <w:uiPriority w:val="63"/>
    <w:rsid w:val="00D2471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7020">
      <w:bodyDiv w:val="1"/>
      <w:marLeft w:val="0"/>
      <w:marRight w:val="0"/>
      <w:marTop w:val="0"/>
      <w:marBottom w:val="0"/>
      <w:divBdr>
        <w:top w:val="none" w:sz="0" w:space="0" w:color="auto"/>
        <w:left w:val="none" w:sz="0" w:space="0" w:color="auto"/>
        <w:bottom w:val="none" w:sz="0" w:space="0" w:color="auto"/>
        <w:right w:val="none" w:sz="0" w:space="0" w:color="auto"/>
      </w:divBdr>
    </w:div>
    <w:div w:id="1025250418">
      <w:bodyDiv w:val="1"/>
      <w:marLeft w:val="0"/>
      <w:marRight w:val="0"/>
      <w:marTop w:val="0"/>
      <w:marBottom w:val="0"/>
      <w:divBdr>
        <w:top w:val="none" w:sz="0" w:space="0" w:color="auto"/>
        <w:left w:val="none" w:sz="0" w:space="0" w:color="auto"/>
        <w:bottom w:val="none" w:sz="0" w:space="0" w:color="auto"/>
        <w:right w:val="none" w:sz="0" w:space="0" w:color="auto"/>
      </w:divBdr>
    </w:div>
    <w:div w:id="1528716071">
      <w:bodyDiv w:val="1"/>
      <w:marLeft w:val="0"/>
      <w:marRight w:val="0"/>
      <w:marTop w:val="0"/>
      <w:marBottom w:val="0"/>
      <w:divBdr>
        <w:top w:val="none" w:sz="0" w:space="0" w:color="auto"/>
        <w:left w:val="none" w:sz="0" w:space="0" w:color="auto"/>
        <w:bottom w:val="none" w:sz="0" w:space="0" w:color="auto"/>
        <w:right w:val="none" w:sz="0" w:space="0" w:color="auto"/>
      </w:divBdr>
    </w:div>
    <w:div w:id="15344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D948-9925-A141-BB3F-F340ABE1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2014-07-15T03:34:00Z</dcterms:created>
  <dcterms:modified xsi:type="dcterms:W3CDTF">2014-07-15T03:34:00Z</dcterms:modified>
</cp:coreProperties>
</file>