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57F4C" w14:textId="766743E7" w:rsidR="008C2BDA" w:rsidRDefault="00FA63E5" w:rsidP="00F3615F">
      <w:pPr>
        <w:pStyle w:val="Title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MPC-</w:t>
      </w:r>
      <w:bookmarkStart w:id="0" w:name="_GoBack"/>
      <w:bookmarkEnd w:id="0"/>
      <w:r w:rsidR="004170F2">
        <w:rPr>
          <w:rFonts w:ascii="Arial" w:hAnsi="Arial" w:cs="Arial"/>
          <w:sz w:val="34"/>
          <w:szCs w:val="34"/>
        </w:rPr>
        <w:t>477</w:t>
      </w:r>
    </w:p>
    <w:p w14:paraId="3F514B3E" w14:textId="2232BA5B" w:rsidR="008C2BDA" w:rsidRPr="00073055" w:rsidRDefault="004170F2" w:rsidP="00073055">
      <w:pPr>
        <w:pStyle w:val="Title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9, 2015</w:t>
      </w:r>
    </w:p>
    <w:p w14:paraId="2CC0720D" w14:textId="77777777" w:rsidR="008C2BDA" w:rsidRPr="00EA7CEC" w:rsidRDefault="008C2BDA" w:rsidP="007A6340">
      <w:pPr>
        <w:rPr>
          <w:b/>
        </w:rPr>
      </w:pPr>
      <w:r w:rsidRPr="007A6340">
        <w:rPr>
          <w:b/>
        </w:rPr>
        <w:t>Project Title</w:t>
      </w:r>
      <w:r>
        <w:rPr>
          <w:b/>
        </w:rPr>
        <w:t>:</w:t>
      </w:r>
      <w:r>
        <w:rPr>
          <w:color w:val="000000"/>
          <w:szCs w:val="24"/>
        </w:rPr>
        <w:t xml:space="preserve">  Characterizing the ductility of Portland cement stabilized soil</w:t>
      </w:r>
    </w:p>
    <w:p w14:paraId="6DE41F1B" w14:textId="77777777" w:rsidR="008C2BDA" w:rsidRDefault="008C2BDA" w:rsidP="007A6340"/>
    <w:p w14:paraId="638A4C76" w14:textId="77777777" w:rsidR="008C2BDA" w:rsidRPr="007A6340" w:rsidRDefault="008C2BDA" w:rsidP="007A6340">
      <w:pPr>
        <w:rPr>
          <w:b/>
        </w:rPr>
      </w:pPr>
      <w:r w:rsidRPr="007A6340">
        <w:rPr>
          <w:b/>
        </w:rPr>
        <w:t>Universit</w:t>
      </w:r>
      <w:r>
        <w:rPr>
          <w:b/>
        </w:rPr>
        <w:t>y</w:t>
      </w:r>
      <w:r w:rsidRPr="007A6340">
        <w:rPr>
          <w:b/>
        </w:rPr>
        <w:t xml:space="preserve">: </w:t>
      </w:r>
      <w:r w:rsidRPr="00EA7CEC">
        <w:t>Utah State University</w:t>
      </w:r>
    </w:p>
    <w:p w14:paraId="4BA43C3C" w14:textId="77777777" w:rsidR="008C2BDA" w:rsidRDefault="008C2BDA" w:rsidP="007A6340"/>
    <w:p w14:paraId="76A79CD0" w14:textId="77777777" w:rsidR="008C2BDA" w:rsidRDefault="008C2BDA" w:rsidP="00EA7CEC">
      <w:pPr>
        <w:tabs>
          <w:tab w:val="left" w:pos="2700"/>
        </w:tabs>
      </w:pPr>
      <w:r w:rsidRPr="007A6340">
        <w:rPr>
          <w:b/>
        </w:rPr>
        <w:t>Principal Investigators:</w:t>
      </w:r>
      <w:r>
        <w:rPr>
          <w:b/>
        </w:rPr>
        <w:tab/>
      </w:r>
      <w:r>
        <w:t>James A. Bay (Utah State University)</w:t>
      </w:r>
    </w:p>
    <w:p w14:paraId="1737E1A8" w14:textId="77777777" w:rsidR="008C2BDA" w:rsidRDefault="008C2BDA" w:rsidP="00EA7CEC">
      <w:pPr>
        <w:tabs>
          <w:tab w:val="left" w:pos="2700"/>
        </w:tabs>
      </w:pPr>
      <w:r>
        <w:tab/>
        <w:t>Associate Professor</w:t>
      </w:r>
    </w:p>
    <w:p w14:paraId="55D8BAE1" w14:textId="77777777" w:rsidR="008C2BDA" w:rsidRPr="00EA7CEC" w:rsidRDefault="008C2BDA" w:rsidP="00EA7CEC">
      <w:pPr>
        <w:tabs>
          <w:tab w:val="left" w:pos="2700"/>
        </w:tabs>
      </w:pPr>
      <w:r>
        <w:tab/>
      </w:r>
      <w:hyperlink r:id="rId8" w:history="1">
        <w:r w:rsidRPr="00EA7CEC">
          <w:rPr>
            <w:rStyle w:val="Hyperlink"/>
            <w:color w:val="auto"/>
            <w:u w:val="none"/>
          </w:rPr>
          <w:t>jim.bay@usu.edu</w:t>
        </w:r>
      </w:hyperlink>
    </w:p>
    <w:p w14:paraId="76862333" w14:textId="77777777" w:rsidR="008C2BDA" w:rsidRDefault="008C2BDA" w:rsidP="00EA7CEC">
      <w:pPr>
        <w:tabs>
          <w:tab w:val="left" w:pos="2700"/>
        </w:tabs>
      </w:pPr>
      <w:r>
        <w:tab/>
        <w:t>Department of Civil and Environmental Engineering</w:t>
      </w:r>
    </w:p>
    <w:p w14:paraId="13015716" w14:textId="77777777" w:rsidR="008C2BDA" w:rsidRDefault="008C2BDA" w:rsidP="00EA7CEC">
      <w:pPr>
        <w:tabs>
          <w:tab w:val="left" w:pos="2700"/>
        </w:tabs>
      </w:pPr>
      <w:r>
        <w:tab/>
        <w:t>Utah State University</w:t>
      </w:r>
    </w:p>
    <w:p w14:paraId="3576AEB3" w14:textId="77777777" w:rsidR="008C2BDA" w:rsidRDefault="008C2BDA" w:rsidP="00EA7CEC">
      <w:pPr>
        <w:tabs>
          <w:tab w:val="left" w:pos="2700"/>
        </w:tabs>
      </w:pPr>
      <w:r>
        <w:tab/>
        <w:t>4110 Old Main Hill</w:t>
      </w:r>
    </w:p>
    <w:p w14:paraId="2518DC59" w14:textId="77777777" w:rsidR="008C2BDA" w:rsidRDefault="008C2BDA" w:rsidP="00EA7CEC">
      <w:pPr>
        <w:tabs>
          <w:tab w:val="left" w:pos="2700"/>
        </w:tabs>
      </w:pPr>
      <w:r>
        <w:tab/>
        <w:t>Logan, Utah 84322</w:t>
      </w:r>
    </w:p>
    <w:p w14:paraId="45CA1B92" w14:textId="77777777" w:rsidR="008C2BDA" w:rsidRDefault="008C2BDA" w:rsidP="00EA7CEC">
      <w:pPr>
        <w:tabs>
          <w:tab w:val="left" w:pos="2700"/>
        </w:tabs>
      </w:pPr>
      <w:r>
        <w:tab/>
        <w:t>(435) 797-2947</w:t>
      </w:r>
    </w:p>
    <w:p w14:paraId="759096B0" w14:textId="77777777" w:rsidR="008C2BDA" w:rsidRDefault="008C2BDA" w:rsidP="00EA7CEC">
      <w:pPr>
        <w:tabs>
          <w:tab w:val="left" w:pos="2700"/>
        </w:tabs>
      </w:pPr>
    </w:p>
    <w:p w14:paraId="46F1D84C" w14:textId="77777777" w:rsidR="008C2BDA" w:rsidRDefault="008C2BDA" w:rsidP="00EA7CEC">
      <w:pPr>
        <w:tabs>
          <w:tab w:val="left" w:pos="2700"/>
        </w:tabs>
      </w:pPr>
      <w:r>
        <w:tab/>
        <w:t>John D. Rice</w:t>
      </w:r>
    </w:p>
    <w:p w14:paraId="4703A6EA" w14:textId="77777777" w:rsidR="008C2BDA" w:rsidRDefault="008C2BDA" w:rsidP="00EA7CEC">
      <w:pPr>
        <w:tabs>
          <w:tab w:val="left" w:pos="2700"/>
        </w:tabs>
      </w:pPr>
      <w:r>
        <w:tab/>
        <w:t>Assistant Professor</w:t>
      </w:r>
    </w:p>
    <w:p w14:paraId="72272789" w14:textId="77777777" w:rsidR="008C2BDA" w:rsidRPr="006C5674" w:rsidRDefault="008C2BDA" w:rsidP="00EA7CEC">
      <w:pPr>
        <w:tabs>
          <w:tab w:val="left" w:pos="2700"/>
        </w:tabs>
      </w:pPr>
      <w:r>
        <w:tab/>
      </w:r>
      <w:hyperlink r:id="rId9" w:history="1">
        <w:r w:rsidRPr="006C5674">
          <w:rPr>
            <w:rStyle w:val="Hyperlink"/>
            <w:color w:val="auto"/>
            <w:u w:val="none"/>
          </w:rPr>
          <w:t>john.rice@usu.edu</w:t>
        </w:r>
      </w:hyperlink>
    </w:p>
    <w:p w14:paraId="6324AC60" w14:textId="77777777" w:rsidR="008C2BDA" w:rsidRDefault="008C2BDA" w:rsidP="00EA7CEC">
      <w:pPr>
        <w:tabs>
          <w:tab w:val="left" w:pos="2700"/>
        </w:tabs>
      </w:pPr>
      <w:r>
        <w:tab/>
        <w:t>Department of Civil and Environmental Engineering</w:t>
      </w:r>
    </w:p>
    <w:p w14:paraId="10F5D796" w14:textId="77777777" w:rsidR="008C2BDA" w:rsidRDefault="008C2BDA" w:rsidP="00EA7CEC">
      <w:pPr>
        <w:tabs>
          <w:tab w:val="left" w:pos="2700"/>
        </w:tabs>
      </w:pPr>
      <w:r>
        <w:tab/>
        <w:t>Utah State University</w:t>
      </w:r>
    </w:p>
    <w:p w14:paraId="425C60DF" w14:textId="77777777" w:rsidR="008C2BDA" w:rsidRDefault="008C2BDA" w:rsidP="00EA7CEC">
      <w:pPr>
        <w:tabs>
          <w:tab w:val="left" w:pos="2700"/>
        </w:tabs>
      </w:pPr>
      <w:r>
        <w:tab/>
        <w:t>4110 Old Main Hill</w:t>
      </w:r>
    </w:p>
    <w:p w14:paraId="6CFD1A82" w14:textId="77777777" w:rsidR="008C2BDA" w:rsidRDefault="008C2BDA" w:rsidP="00EA7CEC">
      <w:pPr>
        <w:tabs>
          <w:tab w:val="left" w:pos="2700"/>
        </w:tabs>
      </w:pPr>
      <w:r>
        <w:tab/>
        <w:t>Logan, Utah 84322</w:t>
      </w:r>
    </w:p>
    <w:p w14:paraId="44EEE2B7" w14:textId="77777777" w:rsidR="008C2BDA" w:rsidRDefault="008C2BDA" w:rsidP="00EA7CEC">
      <w:pPr>
        <w:tabs>
          <w:tab w:val="left" w:pos="2700"/>
        </w:tabs>
      </w:pPr>
      <w:r>
        <w:tab/>
        <w:t>(435) 797-8611</w:t>
      </w:r>
    </w:p>
    <w:p w14:paraId="1B7C5921" w14:textId="77777777" w:rsidR="008C2BDA" w:rsidRDefault="008C2BDA" w:rsidP="007A6340"/>
    <w:p w14:paraId="0C7407E1" w14:textId="77777777" w:rsidR="008C2BDA" w:rsidRPr="007A6340" w:rsidRDefault="008C2BDA" w:rsidP="007A6340">
      <w:pPr>
        <w:rPr>
          <w:b/>
        </w:rPr>
      </w:pPr>
      <w:r w:rsidRPr="007A6340">
        <w:rPr>
          <w:b/>
        </w:rPr>
        <w:t>Research Needs:</w:t>
      </w:r>
    </w:p>
    <w:p w14:paraId="5A5F01C0" w14:textId="77777777" w:rsidR="008C2BDA" w:rsidRDefault="008C2BDA" w:rsidP="00EA674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Portland cement, lime, and </w:t>
      </w:r>
      <w:proofErr w:type="gramStart"/>
      <w:r>
        <w:rPr>
          <w:color w:val="000000"/>
          <w:szCs w:val="24"/>
        </w:rPr>
        <w:t>fly-ash</w:t>
      </w:r>
      <w:proofErr w:type="gramEnd"/>
      <w:r>
        <w:rPr>
          <w:color w:val="000000"/>
          <w:szCs w:val="24"/>
        </w:rPr>
        <w:t xml:space="preserve"> stabilized soils are often used as base materials in pavement.  The ductility of these materials has a large impact on the performance and life of the pavement.  Increasing the ductility of these materials, </w:t>
      </w:r>
      <w:r w:rsidR="00672CAE">
        <w:rPr>
          <w:color w:val="000000"/>
          <w:szCs w:val="24"/>
        </w:rPr>
        <w:t>without</w:t>
      </w:r>
      <w:r>
        <w:rPr>
          <w:color w:val="000000"/>
          <w:szCs w:val="24"/>
        </w:rPr>
        <w:t xml:space="preserve"> decreasing the stiffness will result in materials that will experience less degradation over time, resulting in better performance and longer life.  However, unlike bitumen cemented materials (D113-07), there is not currently any method to characterize the ductility of </w:t>
      </w:r>
      <w:r w:rsidR="00672CAE">
        <w:rPr>
          <w:color w:val="000000"/>
          <w:szCs w:val="24"/>
        </w:rPr>
        <w:t>Portland</w:t>
      </w:r>
      <w:r>
        <w:rPr>
          <w:color w:val="000000"/>
          <w:szCs w:val="24"/>
        </w:rPr>
        <w:t xml:space="preserve"> cement, lime, or </w:t>
      </w:r>
      <w:proofErr w:type="gramStart"/>
      <w:r>
        <w:rPr>
          <w:color w:val="000000"/>
          <w:szCs w:val="24"/>
        </w:rPr>
        <w:t>fly-ash</w:t>
      </w:r>
      <w:proofErr w:type="gramEnd"/>
      <w:r>
        <w:rPr>
          <w:color w:val="000000"/>
          <w:szCs w:val="24"/>
        </w:rPr>
        <w:t xml:space="preserve"> cemented materials (Portland Cement Association, 1992), (NCHRP, 1976).  </w:t>
      </w:r>
      <w:proofErr w:type="spellStart"/>
      <w:r w:rsidR="00672CAE">
        <w:rPr>
          <w:color w:val="000000"/>
          <w:szCs w:val="24"/>
        </w:rPr>
        <w:t>C</w:t>
      </w:r>
      <w:r w:rsidR="00672CAE" w:rsidRPr="00672CAE">
        <w:rPr>
          <w:color w:val="000000"/>
          <w:szCs w:val="24"/>
        </w:rPr>
        <w:t>ementitious</w:t>
      </w:r>
      <w:proofErr w:type="spellEnd"/>
      <w:r w:rsidR="00672CAE">
        <w:rPr>
          <w:color w:val="000000"/>
          <w:szCs w:val="24"/>
        </w:rPr>
        <w:t xml:space="preserve"> materials such as soil-cement and plastic concrete are also used for groundwater cutoffs and excavation support in many transportation applications as well as dam and levee mitigation.</w:t>
      </w:r>
      <w:r w:rsidR="007744C8">
        <w:rPr>
          <w:color w:val="000000"/>
          <w:szCs w:val="24"/>
        </w:rPr>
        <w:t xml:space="preserve">  Material ductility is also important in many of these applications to deal with post-construction deformation of these structures</w:t>
      </w:r>
      <w:r w:rsidR="005B4218">
        <w:rPr>
          <w:color w:val="000000"/>
          <w:szCs w:val="24"/>
        </w:rPr>
        <w:t xml:space="preserve"> </w:t>
      </w:r>
      <w:r w:rsidR="00564469">
        <w:rPr>
          <w:color w:val="000000"/>
          <w:szCs w:val="24"/>
        </w:rPr>
        <w:t>(</w:t>
      </w:r>
      <w:proofErr w:type="spellStart"/>
      <w:r w:rsidR="00564469">
        <w:rPr>
          <w:color w:val="000000"/>
          <w:szCs w:val="24"/>
        </w:rPr>
        <w:t>Kahl</w:t>
      </w:r>
      <w:proofErr w:type="spellEnd"/>
      <w:r w:rsidR="00564469">
        <w:rPr>
          <w:color w:val="000000"/>
          <w:szCs w:val="24"/>
        </w:rPr>
        <w:t xml:space="preserve"> et. al, 1991), (Rice and Duncan, 2010)</w:t>
      </w:r>
      <w:r w:rsidR="007744C8">
        <w:rPr>
          <w:color w:val="000000"/>
          <w:szCs w:val="24"/>
        </w:rPr>
        <w:t xml:space="preserve">. </w:t>
      </w:r>
    </w:p>
    <w:p w14:paraId="09D319BD" w14:textId="77777777" w:rsidR="008C2BDA" w:rsidRDefault="008C2BDA" w:rsidP="00EA674C">
      <w:pPr>
        <w:jc w:val="both"/>
        <w:rPr>
          <w:color w:val="000000"/>
          <w:szCs w:val="24"/>
        </w:rPr>
      </w:pPr>
    </w:p>
    <w:p w14:paraId="028F2C39" w14:textId="77777777" w:rsidR="008C2BDA" w:rsidRDefault="008C2BDA" w:rsidP="00EA674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The first step to evaluating the </w:t>
      </w:r>
      <w:r w:rsidR="00672CAE">
        <w:rPr>
          <w:color w:val="000000"/>
          <w:szCs w:val="24"/>
        </w:rPr>
        <w:t>effect</w:t>
      </w:r>
      <w:r>
        <w:rPr>
          <w:color w:val="000000"/>
          <w:szCs w:val="24"/>
        </w:rPr>
        <w:t xml:space="preserve"> of ductility in cemented base is to have a measure of ductility.  Ductility and brittleness</w:t>
      </w:r>
      <w:r w:rsidR="007744C8">
        <w:rPr>
          <w:color w:val="000000"/>
          <w:szCs w:val="24"/>
        </w:rPr>
        <w:t xml:space="preserve"> in </w:t>
      </w:r>
      <w:proofErr w:type="spellStart"/>
      <w:r w:rsidR="007744C8" w:rsidRPr="007744C8">
        <w:rPr>
          <w:color w:val="000000"/>
          <w:szCs w:val="24"/>
        </w:rPr>
        <w:t>cementitious</w:t>
      </w:r>
      <w:proofErr w:type="spellEnd"/>
      <w:r w:rsidR="007744C8">
        <w:rPr>
          <w:color w:val="000000"/>
          <w:szCs w:val="24"/>
        </w:rPr>
        <w:t xml:space="preserve"> materials</w:t>
      </w:r>
      <w:r>
        <w:rPr>
          <w:color w:val="000000"/>
          <w:szCs w:val="24"/>
        </w:rPr>
        <w:t xml:space="preserve"> is controlled by the presence or absence of cracks or fissures during straining.  Cracks, micro-cracks and fissures also have a large </w:t>
      </w:r>
      <w:r w:rsidR="00672CAE">
        <w:rPr>
          <w:color w:val="000000"/>
          <w:szCs w:val="24"/>
        </w:rPr>
        <w:t>effect</w:t>
      </w:r>
      <w:r>
        <w:rPr>
          <w:color w:val="000000"/>
          <w:szCs w:val="24"/>
        </w:rPr>
        <w:t xml:space="preserve"> on other easy to measure engineering properties.  Two of these properties are damping and permeability.  </w:t>
      </w:r>
      <w:proofErr w:type="gramStart"/>
      <w:r>
        <w:rPr>
          <w:color w:val="000000"/>
          <w:szCs w:val="24"/>
        </w:rPr>
        <w:t>A ductility index can be developed by measuring changes in damping or permeability with strain</w:t>
      </w:r>
      <w:proofErr w:type="gramEnd"/>
      <w:r>
        <w:rPr>
          <w:color w:val="000000"/>
          <w:szCs w:val="24"/>
        </w:rPr>
        <w:t xml:space="preserve">.  With </w:t>
      </w:r>
      <w:r w:rsidR="00672CAE">
        <w:rPr>
          <w:color w:val="000000"/>
          <w:szCs w:val="24"/>
        </w:rPr>
        <w:t>an</w:t>
      </w:r>
      <w:r>
        <w:rPr>
          <w:color w:val="000000"/>
          <w:szCs w:val="24"/>
        </w:rPr>
        <w:t xml:space="preserve"> easy to measure and replicate ductility index, </w:t>
      </w:r>
      <w:r>
        <w:rPr>
          <w:color w:val="000000"/>
          <w:szCs w:val="24"/>
        </w:rPr>
        <w:lastRenderedPageBreak/>
        <w:t xml:space="preserve">comparisons can be made between the ductility of different materials, and the </w:t>
      </w:r>
      <w:r w:rsidR="00672CAE">
        <w:rPr>
          <w:color w:val="000000"/>
          <w:szCs w:val="24"/>
        </w:rPr>
        <w:t>effect</w:t>
      </w:r>
      <w:r>
        <w:rPr>
          <w:color w:val="000000"/>
          <w:szCs w:val="24"/>
        </w:rPr>
        <w:t xml:space="preserve"> of ductility on long-term behavior can be studied.</w:t>
      </w:r>
    </w:p>
    <w:p w14:paraId="49A041E6" w14:textId="77777777" w:rsidR="008C2BDA" w:rsidRDefault="008C2BDA" w:rsidP="007A6340"/>
    <w:p w14:paraId="240D016E" w14:textId="77777777" w:rsidR="008C2BDA" w:rsidRPr="007A6340" w:rsidRDefault="008C2BDA" w:rsidP="007A6340">
      <w:pPr>
        <w:rPr>
          <w:b/>
        </w:rPr>
      </w:pPr>
      <w:r w:rsidRPr="007A6340">
        <w:rPr>
          <w:b/>
        </w:rPr>
        <w:t>Research Objectives:</w:t>
      </w:r>
    </w:p>
    <w:p w14:paraId="21FCA085" w14:textId="77777777" w:rsidR="008C2BDA" w:rsidRDefault="008C2BDA" w:rsidP="009B4B93">
      <w:pPr>
        <w:jc w:val="both"/>
      </w:pPr>
      <w:r>
        <w:rPr>
          <w:color w:val="000000"/>
          <w:szCs w:val="24"/>
        </w:rPr>
        <w:t xml:space="preserve">The objective of this research is to develop one or more testing method to give indices of ductility for Portland cement, lime, or </w:t>
      </w:r>
      <w:proofErr w:type="gramStart"/>
      <w:r>
        <w:rPr>
          <w:color w:val="000000"/>
          <w:szCs w:val="24"/>
        </w:rPr>
        <w:t>fly-ash</w:t>
      </w:r>
      <w:proofErr w:type="gramEnd"/>
      <w:r>
        <w:rPr>
          <w:color w:val="000000"/>
          <w:szCs w:val="24"/>
        </w:rPr>
        <w:t xml:space="preserve"> stabilized soils.  These indices will provide a relative characterization of the ductility of different materials, and that can be used to compare the ductility of different materials.  This index will provide a tool that can be used in subsequent research to quantify </w:t>
      </w:r>
      <w:r w:rsidR="007744C8">
        <w:rPr>
          <w:color w:val="000000"/>
          <w:szCs w:val="24"/>
        </w:rPr>
        <w:t>effects</w:t>
      </w:r>
      <w:r>
        <w:rPr>
          <w:color w:val="000000"/>
          <w:szCs w:val="24"/>
        </w:rPr>
        <w:t xml:space="preserve"> of ductility on long-term performance, and to compare ductility of different materials</w:t>
      </w:r>
      <w:r w:rsidR="007744C8">
        <w:rPr>
          <w:color w:val="000000"/>
          <w:szCs w:val="24"/>
        </w:rPr>
        <w:t xml:space="preserve"> or mix designs</w:t>
      </w:r>
      <w:r>
        <w:rPr>
          <w:color w:val="000000"/>
          <w:szCs w:val="24"/>
        </w:rPr>
        <w:t xml:space="preserve">.  </w:t>
      </w:r>
    </w:p>
    <w:p w14:paraId="73A6D3B2" w14:textId="77777777" w:rsidR="008C2BDA" w:rsidRDefault="008C2BDA" w:rsidP="007A6340"/>
    <w:p w14:paraId="62145B82" w14:textId="77777777" w:rsidR="008C2BDA" w:rsidRPr="007A6340" w:rsidRDefault="008C2BDA" w:rsidP="007A6340">
      <w:pPr>
        <w:rPr>
          <w:b/>
        </w:rPr>
      </w:pPr>
      <w:r w:rsidRPr="007A6340">
        <w:rPr>
          <w:b/>
        </w:rPr>
        <w:t>Research Methods:</w:t>
      </w:r>
    </w:p>
    <w:p w14:paraId="42077034" w14:textId="77777777" w:rsidR="008C2BDA" w:rsidRDefault="008C2BDA" w:rsidP="009B4B9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Two methods for characterizing ductility will be investigated:</w:t>
      </w:r>
    </w:p>
    <w:p w14:paraId="32685CE6" w14:textId="77777777" w:rsidR="008C2BDA" w:rsidRDefault="008C2BDA" w:rsidP="009B4B93">
      <w:pPr>
        <w:jc w:val="both"/>
        <w:rPr>
          <w:color w:val="000000"/>
          <w:szCs w:val="24"/>
        </w:rPr>
      </w:pPr>
    </w:p>
    <w:p w14:paraId="68C0AD82" w14:textId="77777777" w:rsidR="008C2BDA" w:rsidRDefault="008C2BDA" w:rsidP="009B4B9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1) The researchers have observed that the damping behavior of cemented soils is strongly affected by micro-cracking and small amounts of distress.  Damping can easily be measured in free-free resonance testing.  To characterize the ductility of a material, a combination of free-free resonance testing and axial compression testing will be employed.  The damping will be measured in unstrained specimens, and then the material will be loaded axially to increasing strains, </w:t>
      </w:r>
      <w:r w:rsidR="007744C8">
        <w:rPr>
          <w:color w:val="000000"/>
          <w:szCs w:val="24"/>
        </w:rPr>
        <w:t>while</w:t>
      </w:r>
      <w:r>
        <w:rPr>
          <w:color w:val="000000"/>
          <w:szCs w:val="24"/>
        </w:rPr>
        <w:t xml:space="preserve"> the damping measurements</w:t>
      </w:r>
      <w:r w:rsidR="007744C8">
        <w:rPr>
          <w:color w:val="000000"/>
          <w:szCs w:val="24"/>
        </w:rPr>
        <w:t xml:space="preserve"> are repeated</w:t>
      </w:r>
      <w:r>
        <w:rPr>
          <w:color w:val="000000"/>
          <w:szCs w:val="24"/>
        </w:rPr>
        <w:t xml:space="preserve">.  Less ductile material will experience more </w:t>
      </w:r>
      <w:proofErr w:type="gramStart"/>
      <w:r>
        <w:rPr>
          <w:color w:val="000000"/>
          <w:szCs w:val="24"/>
        </w:rPr>
        <w:t>micro-cracking</w:t>
      </w:r>
      <w:proofErr w:type="gramEnd"/>
      <w:r>
        <w:rPr>
          <w:color w:val="000000"/>
          <w:szCs w:val="24"/>
        </w:rPr>
        <w:t xml:space="preserve"> and distress </w:t>
      </w:r>
      <w:r w:rsidR="007744C8">
        <w:rPr>
          <w:color w:val="000000"/>
          <w:szCs w:val="24"/>
        </w:rPr>
        <w:t>with increasing</w:t>
      </w:r>
      <w:r>
        <w:rPr>
          <w:color w:val="000000"/>
          <w:szCs w:val="24"/>
        </w:rPr>
        <w:t xml:space="preserve"> strain.  A ductility index relating increase in damping to strain will be developed.  Both stiffness and damping will be measured in free-free resonance testing.  </w:t>
      </w:r>
    </w:p>
    <w:p w14:paraId="42CD38C8" w14:textId="77777777" w:rsidR="008C2BDA" w:rsidRDefault="008C2BDA" w:rsidP="009B4B93">
      <w:pPr>
        <w:jc w:val="both"/>
        <w:rPr>
          <w:color w:val="000000"/>
          <w:szCs w:val="24"/>
        </w:rPr>
      </w:pPr>
    </w:p>
    <w:p w14:paraId="5608215A" w14:textId="77777777" w:rsidR="008C2BDA" w:rsidRDefault="008C2BDA" w:rsidP="009B4B9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2) Currently the researchers are characterizing ductility of cemented materials by evaluating increases in permeability relative to axial strain for materials used in cut-off walls in dams and levees.  This testing involves loading the soils in axial compression while measuring the permeability of the material.  Permeability, like damping, is strongly affected by </w:t>
      </w:r>
      <w:proofErr w:type="gramStart"/>
      <w:r>
        <w:rPr>
          <w:color w:val="000000"/>
          <w:szCs w:val="24"/>
        </w:rPr>
        <w:t>micro-cracking</w:t>
      </w:r>
      <w:proofErr w:type="gramEnd"/>
      <w:r>
        <w:rPr>
          <w:color w:val="000000"/>
          <w:szCs w:val="24"/>
        </w:rPr>
        <w:t xml:space="preserve"> and distress.  Another ductility index will be developed relating increase in permeability to strain. </w:t>
      </w:r>
    </w:p>
    <w:p w14:paraId="10F46B97" w14:textId="77777777" w:rsidR="008C2BDA" w:rsidRDefault="008C2BDA" w:rsidP="009B4B93">
      <w:pPr>
        <w:jc w:val="both"/>
        <w:rPr>
          <w:color w:val="000000"/>
          <w:szCs w:val="24"/>
        </w:rPr>
      </w:pPr>
    </w:p>
    <w:p w14:paraId="0BD036EE" w14:textId="77777777" w:rsidR="008C2BDA" w:rsidRDefault="008C2BDA" w:rsidP="009B4B93">
      <w:pPr>
        <w:jc w:val="both"/>
      </w:pPr>
      <w:r>
        <w:t>We hypothesize that both approaches will characterize ductility.  Both approaches will be employed to characterize the ductility of typical Portland cement stabilized base materials.  The approaches will be compared based upon</w:t>
      </w:r>
      <w:proofErr w:type="gramStart"/>
      <w:r>
        <w:t>;</w:t>
      </w:r>
      <w:proofErr w:type="gramEnd"/>
      <w:r>
        <w:t xml:space="preserve"> 1) ease of testing, and 2) quality of ductility characterization.</w:t>
      </w:r>
    </w:p>
    <w:p w14:paraId="4DD80F58" w14:textId="77777777" w:rsidR="008C2BDA" w:rsidRDefault="008C2BDA" w:rsidP="009B4B93">
      <w:pPr>
        <w:jc w:val="both"/>
      </w:pPr>
    </w:p>
    <w:p w14:paraId="74D1765C" w14:textId="77777777" w:rsidR="008C2BDA" w:rsidRDefault="008C2BDA" w:rsidP="009B4B93">
      <w:pPr>
        <w:jc w:val="both"/>
      </w:pPr>
      <w:r>
        <w:t xml:space="preserve">To simplify this investigation, only Portland cement stabilized soils will be used in this investigation.  </w:t>
      </w:r>
      <w:r w:rsidR="007744C8">
        <w:t xml:space="preserve">Subsequent studies may be performed to assess the effectiveness of the test methods with different </w:t>
      </w:r>
      <w:proofErr w:type="spellStart"/>
      <w:r w:rsidR="007744C8" w:rsidRPr="007744C8">
        <w:t>cementitious</w:t>
      </w:r>
      <w:proofErr w:type="spellEnd"/>
      <w:r w:rsidR="007744C8">
        <w:t xml:space="preserve"> additives.</w:t>
      </w:r>
    </w:p>
    <w:p w14:paraId="22B6ADFF" w14:textId="77777777" w:rsidR="008C2BDA" w:rsidRDefault="008C2BDA" w:rsidP="007A6340"/>
    <w:p w14:paraId="553DCBCE" w14:textId="77777777" w:rsidR="008C2BDA" w:rsidRDefault="008C2BDA" w:rsidP="007A6340">
      <w:pPr>
        <w:rPr>
          <w:b/>
        </w:rPr>
      </w:pPr>
      <w:r w:rsidRPr="007A6340">
        <w:rPr>
          <w:b/>
        </w:rPr>
        <w:t>Expected Outcomes:</w:t>
      </w:r>
    </w:p>
    <w:p w14:paraId="3EC07235" w14:textId="77777777" w:rsidR="008C2BDA" w:rsidRPr="00135B09" w:rsidRDefault="008C2BDA" w:rsidP="009737E6">
      <w:pPr>
        <w:jc w:val="both"/>
      </w:pPr>
      <w:r w:rsidRPr="00135B09">
        <w:t>The outcome of this work will be testing methods to determine ductility of cemented pavement soils</w:t>
      </w:r>
      <w:r w:rsidR="007744C8">
        <w:t xml:space="preserve"> and shoring and cutoff materials</w:t>
      </w:r>
      <w:r w:rsidRPr="00135B09">
        <w:t>.  This will give pavement designers tools that are currently not available to increase the ductility of pavements using cemented base materials.</w:t>
      </w:r>
      <w:r w:rsidR="007744C8">
        <w:t xml:space="preserve">  It will also be useful for design of cutoff </w:t>
      </w:r>
      <w:r w:rsidR="005B4218">
        <w:t xml:space="preserve">or retaining structures in construction applications as well as dam </w:t>
      </w:r>
      <w:r w:rsidR="005B4218">
        <w:lastRenderedPageBreak/>
        <w:t>and levee applications.</w:t>
      </w:r>
      <w:r w:rsidRPr="00135B09">
        <w:t xml:space="preserve">  This work will be submitted to the Transportation Research Board for presentation and publication.  </w:t>
      </w:r>
    </w:p>
    <w:p w14:paraId="77EA22F5" w14:textId="77777777" w:rsidR="008C2BDA" w:rsidRDefault="008C2BDA" w:rsidP="007A6340">
      <w:pPr>
        <w:rPr>
          <w:color w:val="000000"/>
          <w:szCs w:val="24"/>
        </w:rPr>
      </w:pPr>
    </w:p>
    <w:p w14:paraId="6C4C0AAF" w14:textId="77777777" w:rsidR="008C2BDA" w:rsidRPr="007A6340" w:rsidRDefault="008C2BDA" w:rsidP="007A6340">
      <w:pPr>
        <w:rPr>
          <w:b/>
        </w:rPr>
      </w:pPr>
      <w:r w:rsidRPr="007A6340">
        <w:rPr>
          <w:b/>
        </w:rPr>
        <w:t>Relevance to Strategic Goals:</w:t>
      </w:r>
    </w:p>
    <w:p w14:paraId="3C42DB2D" w14:textId="77777777" w:rsidR="008C2BDA" w:rsidRDefault="008C2BDA" w:rsidP="009737E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This work will increase the design life, state of good repair, economics, and environmental sustainability of pavements</w:t>
      </w:r>
      <w:r w:rsidR="005B4218">
        <w:rPr>
          <w:color w:val="000000"/>
          <w:szCs w:val="24"/>
        </w:rPr>
        <w:t>, retaining structures, and groundwater cutoffs</w:t>
      </w:r>
      <w:r>
        <w:rPr>
          <w:color w:val="000000"/>
          <w:szCs w:val="24"/>
        </w:rPr>
        <w:t xml:space="preserve">.  </w:t>
      </w:r>
    </w:p>
    <w:p w14:paraId="6BDF3412" w14:textId="77777777" w:rsidR="00BD302C" w:rsidRDefault="00BD302C" w:rsidP="007A6340">
      <w:pPr>
        <w:rPr>
          <w:b/>
        </w:rPr>
      </w:pPr>
    </w:p>
    <w:p w14:paraId="6CDD97DD" w14:textId="77777777" w:rsidR="008C2BDA" w:rsidRPr="007A6340" w:rsidRDefault="008C2BDA" w:rsidP="007A6340">
      <w:pPr>
        <w:rPr>
          <w:b/>
        </w:rPr>
      </w:pPr>
      <w:r w:rsidRPr="007A6340">
        <w:rPr>
          <w:b/>
        </w:rPr>
        <w:t>Educational Benefits:</w:t>
      </w:r>
    </w:p>
    <w:p w14:paraId="0C17E6E9" w14:textId="77777777" w:rsidR="008C2BDA" w:rsidRDefault="008C2BDA" w:rsidP="007A6340">
      <w:pPr>
        <w:rPr>
          <w:color w:val="000000"/>
          <w:szCs w:val="24"/>
        </w:rPr>
      </w:pPr>
      <w:r>
        <w:rPr>
          <w:color w:val="000000"/>
          <w:szCs w:val="24"/>
        </w:rPr>
        <w:t>This research will support one graduate student and will be used to generate a Plan B report.  These testing approaches will be incorporated into the graduate course, Laboratory and Field Methods in Geotechnical Engineering.</w:t>
      </w:r>
    </w:p>
    <w:p w14:paraId="0C02223C" w14:textId="77777777" w:rsidR="008C2BDA" w:rsidRDefault="008C2BDA" w:rsidP="007A6340"/>
    <w:p w14:paraId="48E80401" w14:textId="77777777" w:rsidR="008C2BDA" w:rsidRPr="007A6340" w:rsidRDefault="008C2BDA" w:rsidP="007A6340">
      <w:pPr>
        <w:rPr>
          <w:b/>
        </w:rPr>
      </w:pPr>
      <w:r w:rsidRPr="007A6340">
        <w:rPr>
          <w:b/>
        </w:rPr>
        <w:t>Work Plan: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76"/>
        <w:gridCol w:w="1864"/>
      </w:tblGrid>
      <w:tr w:rsidR="008C2BDA" w14:paraId="1B1D120E" w14:textId="77777777" w:rsidTr="004A48F8">
        <w:tc>
          <w:tcPr>
            <w:tcW w:w="4962" w:type="dxa"/>
            <w:tcBorders>
              <w:bottom w:val="double" w:sz="4" w:space="0" w:color="auto"/>
            </w:tcBorders>
            <w:shd w:val="clear" w:color="000000" w:fill="auto"/>
          </w:tcPr>
          <w:p w14:paraId="07EE7AA6" w14:textId="77777777" w:rsidR="008C2BDA" w:rsidRPr="004A48F8" w:rsidRDefault="008C2BDA" w:rsidP="004A48F8">
            <w:pPr>
              <w:jc w:val="center"/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Task</w:t>
            </w:r>
          </w:p>
        </w:tc>
        <w:tc>
          <w:tcPr>
            <w:tcW w:w="2476" w:type="dxa"/>
            <w:tcBorders>
              <w:bottom w:val="double" w:sz="4" w:space="0" w:color="auto"/>
            </w:tcBorders>
            <w:shd w:val="clear" w:color="000000" w:fill="auto"/>
          </w:tcPr>
          <w:p w14:paraId="62E3F570" w14:textId="77777777" w:rsidR="008C2BDA" w:rsidRPr="004A48F8" w:rsidRDefault="008C2BDA" w:rsidP="004A48F8">
            <w:pPr>
              <w:jc w:val="center"/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Responsible Person(s)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shd w:val="clear" w:color="000000" w:fill="auto"/>
          </w:tcPr>
          <w:p w14:paraId="5E4BC04C" w14:textId="77777777" w:rsidR="008C2BDA" w:rsidRPr="004A48F8" w:rsidRDefault="008C2BDA" w:rsidP="004A48F8">
            <w:pPr>
              <w:jc w:val="center"/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Period</w:t>
            </w:r>
          </w:p>
        </w:tc>
      </w:tr>
      <w:tr w:rsidR="00035C29" w14:paraId="3B9FD90F" w14:textId="77777777" w:rsidTr="004A48F8">
        <w:tc>
          <w:tcPr>
            <w:tcW w:w="4962" w:type="dxa"/>
            <w:tcBorders>
              <w:top w:val="double" w:sz="4" w:space="0" w:color="auto"/>
            </w:tcBorders>
            <w:shd w:val="clear" w:color="000000" w:fill="auto"/>
          </w:tcPr>
          <w:p w14:paraId="454A72E2" w14:textId="77777777" w:rsidR="00035C29" w:rsidRPr="004A48F8" w:rsidRDefault="00035C29" w:rsidP="00035C29">
            <w:pPr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Select test materials</w:t>
            </w:r>
          </w:p>
        </w:tc>
        <w:tc>
          <w:tcPr>
            <w:tcW w:w="2476" w:type="dxa"/>
            <w:tcBorders>
              <w:top w:val="double" w:sz="4" w:space="0" w:color="auto"/>
            </w:tcBorders>
            <w:shd w:val="clear" w:color="000000" w:fill="auto"/>
          </w:tcPr>
          <w:p w14:paraId="54263319" w14:textId="77777777" w:rsidR="00035C29" w:rsidRPr="004A48F8" w:rsidRDefault="00035C29" w:rsidP="00035C29">
            <w:pPr>
              <w:jc w:val="center"/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Bay &amp; Rice</w:t>
            </w:r>
          </w:p>
        </w:tc>
        <w:tc>
          <w:tcPr>
            <w:tcW w:w="1864" w:type="dxa"/>
            <w:tcBorders>
              <w:top w:val="double" w:sz="4" w:space="0" w:color="auto"/>
            </w:tcBorders>
            <w:shd w:val="clear" w:color="000000" w:fill="auto"/>
          </w:tcPr>
          <w:p w14:paraId="58832E9B" w14:textId="77777777" w:rsidR="00035C29" w:rsidRPr="004A48F8" w:rsidRDefault="00035C29" w:rsidP="00035C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June</w:t>
            </w:r>
            <w:r w:rsidRPr="004A48F8">
              <w:rPr>
                <w:color w:val="000000"/>
                <w:szCs w:val="24"/>
              </w:rPr>
              <w:t xml:space="preserve"> 2015</w:t>
            </w:r>
          </w:p>
        </w:tc>
      </w:tr>
      <w:tr w:rsidR="00035C29" w14:paraId="26E50C27" w14:textId="77777777" w:rsidTr="004A48F8">
        <w:tc>
          <w:tcPr>
            <w:tcW w:w="4962" w:type="dxa"/>
            <w:shd w:val="clear" w:color="000000" w:fill="auto"/>
          </w:tcPr>
          <w:p w14:paraId="7E56EBBD" w14:textId="77777777" w:rsidR="00035C29" w:rsidRPr="004A48F8" w:rsidRDefault="00035C29" w:rsidP="00035C29">
            <w:pPr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Create test specimens</w:t>
            </w:r>
          </w:p>
        </w:tc>
        <w:tc>
          <w:tcPr>
            <w:tcW w:w="2476" w:type="dxa"/>
            <w:shd w:val="clear" w:color="000000" w:fill="auto"/>
          </w:tcPr>
          <w:p w14:paraId="679EA2F3" w14:textId="77777777" w:rsidR="00035C29" w:rsidRPr="004A48F8" w:rsidRDefault="00035C29" w:rsidP="00035C29">
            <w:pPr>
              <w:jc w:val="center"/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Bay &amp; Rice</w:t>
            </w:r>
          </w:p>
        </w:tc>
        <w:tc>
          <w:tcPr>
            <w:tcW w:w="1864" w:type="dxa"/>
            <w:shd w:val="clear" w:color="000000" w:fill="auto"/>
          </w:tcPr>
          <w:p w14:paraId="4BDE36B1" w14:textId="77777777" w:rsidR="00035C29" w:rsidRPr="004A48F8" w:rsidRDefault="00035C29" w:rsidP="00035C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June</w:t>
            </w:r>
            <w:r w:rsidRPr="004A48F8">
              <w:rPr>
                <w:color w:val="000000"/>
                <w:szCs w:val="24"/>
              </w:rPr>
              <w:t xml:space="preserve">– </w:t>
            </w:r>
            <w:r>
              <w:rPr>
                <w:color w:val="000000"/>
                <w:szCs w:val="24"/>
              </w:rPr>
              <w:t>Aug</w:t>
            </w:r>
            <w:r w:rsidRPr="004A48F8">
              <w:rPr>
                <w:color w:val="000000"/>
                <w:szCs w:val="24"/>
              </w:rPr>
              <w:t xml:space="preserve"> 2015</w:t>
            </w:r>
          </w:p>
        </w:tc>
      </w:tr>
      <w:tr w:rsidR="00035C29" w14:paraId="11859818" w14:textId="77777777" w:rsidTr="004A48F8">
        <w:tc>
          <w:tcPr>
            <w:tcW w:w="4962" w:type="dxa"/>
            <w:shd w:val="clear" w:color="000000" w:fill="auto"/>
          </w:tcPr>
          <w:p w14:paraId="3C100491" w14:textId="77777777" w:rsidR="00035C29" w:rsidRPr="004A48F8" w:rsidRDefault="00035C29" w:rsidP="00035C29">
            <w:pPr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Perform damping/ductility tests</w:t>
            </w:r>
          </w:p>
        </w:tc>
        <w:tc>
          <w:tcPr>
            <w:tcW w:w="2476" w:type="dxa"/>
            <w:shd w:val="clear" w:color="000000" w:fill="auto"/>
          </w:tcPr>
          <w:p w14:paraId="4D8C04B1" w14:textId="77777777" w:rsidR="00035C29" w:rsidRPr="004A48F8" w:rsidRDefault="00035C29" w:rsidP="00035C29">
            <w:pPr>
              <w:jc w:val="center"/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Bay</w:t>
            </w:r>
          </w:p>
        </w:tc>
        <w:tc>
          <w:tcPr>
            <w:tcW w:w="1864" w:type="dxa"/>
            <w:shd w:val="clear" w:color="000000" w:fill="auto"/>
          </w:tcPr>
          <w:p w14:paraId="0F9CE839" w14:textId="77777777" w:rsidR="00035C29" w:rsidRPr="004A48F8" w:rsidRDefault="00035C29" w:rsidP="00035C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Aug</w:t>
            </w:r>
            <w:r w:rsidRPr="004A48F8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Oct</w:t>
            </w:r>
            <w:r w:rsidRPr="004A48F8">
              <w:rPr>
                <w:color w:val="000000"/>
                <w:szCs w:val="24"/>
              </w:rPr>
              <w:t xml:space="preserve"> 2015</w:t>
            </w:r>
          </w:p>
        </w:tc>
      </w:tr>
      <w:tr w:rsidR="00035C29" w14:paraId="1CDCD543" w14:textId="77777777" w:rsidTr="004A48F8">
        <w:tc>
          <w:tcPr>
            <w:tcW w:w="4962" w:type="dxa"/>
            <w:shd w:val="clear" w:color="000000" w:fill="auto"/>
          </w:tcPr>
          <w:p w14:paraId="4D288BD6" w14:textId="77777777" w:rsidR="00035C29" w:rsidRPr="004A48F8" w:rsidRDefault="00035C29" w:rsidP="00035C29">
            <w:pPr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Perform permeability/ductility tests</w:t>
            </w:r>
          </w:p>
        </w:tc>
        <w:tc>
          <w:tcPr>
            <w:tcW w:w="2476" w:type="dxa"/>
            <w:shd w:val="clear" w:color="000000" w:fill="auto"/>
          </w:tcPr>
          <w:p w14:paraId="278976A5" w14:textId="77777777" w:rsidR="00035C29" w:rsidRPr="004A48F8" w:rsidRDefault="00035C29" w:rsidP="00035C29">
            <w:pPr>
              <w:jc w:val="center"/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Rice</w:t>
            </w:r>
          </w:p>
        </w:tc>
        <w:tc>
          <w:tcPr>
            <w:tcW w:w="1864" w:type="dxa"/>
            <w:shd w:val="clear" w:color="000000" w:fill="auto"/>
          </w:tcPr>
          <w:p w14:paraId="5F9972FA" w14:textId="77777777" w:rsidR="00035C29" w:rsidRPr="004A48F8" w:rsidRDefault="00035C29" w:rsidP="00035C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Aug</w:t>
            </w:r>
            <w:r w:rsidRPr="004A48F8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Oct</w:t>
            </w:r>
            <w:r w:rsidRPr="004A48F8">
              <w:rPr>
                <w:color w:val="000000"/>
                <w:szCs w:val="24"/>
              </w:rPr>
              <w:t xml:space="preserve"> 2015</w:t>
            </w:r>
          </w:p>
        </w:tc>
      </w:tr>
      <w:tr w:rsidR="00035C29" w14:paraId="324D59BD" w14:textId="77777777" w:rsidTr="004A48F8">
        <w:tc>
          <w:tcPr>
            <w:tcW w:w="4962" w:type="dxa"/>
            <w:shd w:val="clear" w:color="000000" w:fill="auto"/>
          </w:tcPr>
          <w:p w14:paraId="5EEE2927" w14:textId="77777777" w:rsidR="00035C29" w:rsidRPr="004A48F8" w:rsidRDefault="00035C29" w:rsidP="00035C29">
            <w:pPr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Develop ductility indices, compare test methods</w:t>
            </w:r>
          </w:p>
        </w:tc>
        <w:tc>
          <w:tcPr>
            <w:tcW w:w="2476" w:type="dxa"/>
            <w:shd w:val="clear" w:color="000000" w:fill="auto"/>
          </w:tcPr>
          <w:p w14:paraId="71ADB7BF" w14:textId="77777777" w:rsidR="00035C29" w:rsidRPr="004A48F8" w:rsidRDefault="00035C29" w:rsidP="00035C29">
            <w:pPr>
              <w:jc w:val="center"/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Bay &amp; Rice</w:t>
            </w:r>
          </w:p>
        </w:tc>
        <w:tc>
          <w:tcPr>
            <w:tcW w:w="1864" w:type="dxa"/>
            <w:shd w:val="clear" w:color="000000" w:fill="auto"/>
          </w:tcPr>
          <w:p w14:paraId="306F20E2" w14:textId="77777777" w:rsidR="00035C29" w:rsidRPr="004A48F8" w:rsidRDefault="00035C29" w:rsidP="00035C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Nov </w:t>
            </w:r>
            <w:r w:rsidRPr="004A48F8">
              <w:rPr>
                <w:color w:val="000000"/>
                <w:szCs w:val="24"/>
              </w:rPr>
              <w:t>15</w:t>
            </w:r>
            <w:r>
              <w:rPr>
                <w:color w:val="000000"/>
                <w:szCs w:val="24"/>
              </w:rPr>
              <w:t xml:space="preserve"> – Jan 2016</w:t>
            </w:r>
          </w:p>
        </w:tc>
      </w:tr>
      <w:tr w:rsidR="00035C29" w14:paraId="7D8F424E" w14:textId="77777777" w:rsidTr="004A48F8">
        <w:tc>
          <w:tcPr>
            <w:tcW w:w="4962" w:type="dxa"/>
            <w:shd w:val="clear" w:color="000000" w:fill="auto"/>
          </w:tcPr>
          <w:p w14:paraId="5C78871E" w14:textId="77777777" w:rsidR="00035C29" w:rsidRPr="004A48F8" w:rsidRDefault="00035C29" w:rsidP="00035C29">
            <w:pPr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Draft TRB article</w:t>
            </w:r>
          </w:p>
        </w:tc>
        <w:tc>
          <w:tcPr>
            <w:tcW w:w="2476" w:type="dxa"/>
            <w:shd w:val="clear" w:color="000000" w:fill="auto"/>
          </w:tcPr>
          <w:p w14:paraId="16E4737A" w14:textId="77777777" w:rsidR="00035C29" w:rsidRPr="004A48F8" w:rsidRDefault="00035C29" w:rsidP="00035C29">
            <w:pPr>
              <w:jc w:val="center"/>
              <w:rPr>
                <w:color w:val="000000"/>
                <w:szCs w:val="24"/>
              </w:rPr>
            </w:pPr>
            <w:r w:rsidRPr="004A48F8">
              <w:rPr>
                <w:color w:val="000000"/>
                <w:szCs w:val="24"/>
              </w:rPr>
              <w:t>Bay &amp; Rice</w:t>
            </w:r>
          </w:p>
        </w:tc>
        <w:tc>
          <w:tcPr>
            <w:tcW w:w="1864" w:type="dxa"/>
            <w:shd w:val="clear" w:color="000000" w:fill="auto"/>
          </w:tcPr>
          <w:p w14:paraId="552EC02C" w14:textId="77777777" w:rsidR="00035C29" w:rsidRPr="004A48F8" w:rsidRDefault="00035C29" w:rsidP="00035C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Feb-May</w:t>
            </w:r>
            <w:r w:rsidRPr="004A48F8">
              <w:rPr>
                <w:color w:val="000000"/>
                <w:szCs w:val="24"/>
              </w:rPr>
              <w:t xml:space="preserve"> 2016</w:t>
            </w:r>
          </w:p>
        </w:tc>
      </w:tr>
    </w:tbl>
    <w:p w14:paraId="7BEFA0DF" w14:textId="77777777" w:rsidR="008C2BDA" w:rsidRDefault="008C2BDA" w:rsidP="007A6340">
      <w:pPr>
        <w:rPr>
          <w:color w:val="000000"/>
          <w:szCs w:val="24"/>
        </w:rPr>
      </w:pPr>
    </w:p>
    <w:p w14:paraId="32FB72A4" w14:textId="77777777" w:rsidR="008C2BDA" w:rsidRDefault="008C2BDA" w:rsidP="007A6340"/>
    <w:p w14:paraId="7369B925" w14:textId="77777777" w:rsidR="008C2BDA" w:rsidRDefault="008C2BDA" w:rsidP="007A6340">
      <w:pPr>
        <w:rPr>
          <w:b/>
        </w:rPr>
      </w:pPr>
      <w:r w:rsidRPr="00073055">
        <w:rPr>
          <w:b/>
        </w:rPr>
        <w:t>Project Cost:</w:t>
      </w:r>
      <w:r>
        <w:rPr>
          <w:b/>
        </w:rPr>
        <w:t xml:space="preserve"> $50,968</w:t>
      </w:r>
    </w:p>
    <w:p w14:paraId="39F0A9CB" w14:textId="77777777" w:rsidR="008C2BDA" w:rsidRPr="005F7860" w:rsidRDefault="008C2BDA" w:rsidP="005F7860">
      <w:pPr>
        <w:rPr>
          <w:color w:val="000000"/>
          <w:szCs w:val="24"/>
        </w:rPr>
      </w:pPr>
      <w:r w:rsidRPr="005F7860">
        <w:rPr>
          <w:color w:val="000000"/>
          <w:szCs w:val="24"/>
        </w:rPr>
        <w:t>Total Project Costs:   $</w:t>
      </w:r>
      <w:r w:rsidR="00F03F93">
        <w:rPr>
          <w:color w:val="000000"/>
          <w:szCs w:val="24"/>
        </w:rPr>
        <w:t xml:space="preserve"> 101,936</w:t>
      </w:r>
    </w:p>
    <w:p w14:paraId="60AE9335" w14:textId="77777777" w:rsidR="008C2BDA" w:rsidRPr="005F7860" w:rsidRDefault="008C2BDA" w:rsidP="005F7860">
      <w:pPr>
        <w:rPr>
          <w:color w:val="000000"/>
          <w:szCs w:val="24"/>
        </w:rPr>
      </w:pPr>
      <w:r w:rsidRPr="005F7860">
        <w:rPr>
          <w:color w:val="000000"/>
          <w:szCs w:val="24"/>
        </w:rPr>
        <w:t>MPC Funds Requested:  $</w:t>
      </w:r>
      <w:r w:rsidR="00F03F93">
        <w:rPr>
          <w:color w:val="000000"/>
          <w:szCs w:val="24"/>
        </w:rPr>
        <w:t>50,968</w:t>
      </w:r>
    </w:p>
    <w:p w14:paraId="24523684" w14:textId="77777777" w:rsidR="008C2BDA" w:rsidRDefault="008C2BDA" w:rsidP="005F7860">
      <w:pPr>
        <w:rPr>
          <w:color w:val="000000"/>
          <w:szCs w:val="24"/>
        </w:rPr>
      </w:pPr>
      <w:r w:rsidRPr="005F7860">
        <w:rPr>
          <w:color w:val="000000"/>
          <w:szCs w:val="24"/>
        </w:rPr>
        <w:t xml:space="preserve">Matching Funds:  $ </w:t>
      </w:r>
      <w:r w:rsidR="00F03F93">
        <w:rPr>
          <w:color w:val="000000"/>
          <w:szCs w:val="24"/>
        </w:rPr>
        <w:t>50,968</w:t>
      </w:r>
      <w:r w:rsidRPr="005F7860">
        <w:rPr>
          <w:color w:val="000000"/>
          <w:szCs w:val="24"/>
        </w:rPr>
        <w:t xml:space="preserve">                        Source of Matching Funds:  </w:t>
      </w:r>
      <w:r w:rsidR="00F03F93">
        <w:rPr>
          <w:color w:val="000000"/>
          <w:szCs w:val="24"/>
        </w:rPr>
        <w:t>$50,968</w:t>
      </w:r>
    </w:p>
    <w:p w14:paraId="01022CC4" w14:textId="77777777" w:rsidR="008C2BDA" w:rsidRDefault="008C2BDA" w:rsidP="007A6340">
      <w:pPr>
        <w:rPr>
          <w:color w:val="000000"/>
          <w:szCs w:val="24"/>
        </w:rPr>
      </w:pPr>
    </w:p>
    <w:p w14:paraId="5B9586B9" w14:textId="77777777" w:rsidR="008C2BDA" w:rsidRDefault="008C2BDA" w:rsidP="006C5674">
      <w:pPr>
        <w:rPr>
          <w:szCs w:val="24"/>
        </w:rPr>
      </w:pPr>
    </w:p>
    <w:p w14:paraId="125E54D5" w14:textId="77777777" w:rsidR="008C2BDA" w:rsidRDefault="008C2BDA" w:rsidP="007A6340">
      <w:pPr>
        <w:rPr>
          <w:b/>
        </w:rPr>
      </w:pPr>
      <w:r w:rsidRPr="00073055">
        <w:rPr>
          <w:b/>
        </w:rPr>
        <w:t>TRB Keywords:</w:t>
      </w:r>
    </w:p>
    <w:p w14:paraId="47E918E4" w14:textId="77777777" w:rsidR="008C2BDA" w:rsidRPr="0030217B" w:rsidRDefault="008C2BDA" w:rsidP="007A6340">
      <w:r>
        <w:t>Base course, ductility, ductility tests, Portland cement, Soil stabilization.</w:t>
      </w:r>
    </w:p>
    <w:p w14:paraId="546CAE6E" w14:textId="77777777" w:rsidR="008C2BDA" w:rsidRDefault="008C2BDA" w:rsidP="007A6340"/>
    <w:p w14:paraId="686C965D" w14:textId="77777777" w:rsidR="008C2BDA" w:rsidRDefault="008C2BDA" w:rsidP="007A6340">
      <w:pPr>
        <w:rPr>
          <w:b/>
        </w:rPr>
      </w:pPr>
      <w:r w:rsidRPr="00073055">
        <w:rPr>
          <w:b/>
        </w:rPr>
        <w:t>References:</w:t>
      </w:r>
    </w:p>
    <w:p w14:paraId="28D156E9" w14:textId="77777777" w:rsidR="008C2BDA" w:rsidRDefault="008C2BDA" w:rsidP="007A6340">
      <w:pPr>
        <w:rPr>
          <w:b/>
        </w:rPr>
      </w:pPr>
    </w:p>
    <w:p w14:paraId="01FFFC6B" w14:textId="77777777" w:rsidR="008C2BDA" w:rsidRDefault="008C2BDA" w:rsidP="007A6340">
      <w:pPr>
        <w:rPr>
          <w:rFonts w:cs="Sabon LT Std"/>
          <w:color w:val="000000"/>
          <w:szCs w:val="24"/>
        </w:rPr>
      </w:pPr>
      <w:proofErr w:type="gramStart"/>
      <w:r w:rsidRPr="00940B4E">
        <w:rPr>
          <w:rFonts w:cs="Sabon LT Std"/>
          <w:color w:val="000000"/>
          <w:szCs w:val="24"/>
        </w:rPr>
        <w:t xml:space="preserve">ASTM International D113-07, </w:t>
      </w:r>
      <w:r>
        <w:rPr>
          <w:rFonts w:cs="Sabon LT Std"/>
          <w:color w:val="000000"/>
          <w:szCs w:val="24"/>
        </w:rPr>
        <w:t>(</w:t>
      </w:r>
      <w:r w:rsidRPr="00940B4E">
        <w:rPr>
          <w:rFonts w:cs="Sabon LT Std"/>
          <w:color w:val="000000"/>
          <w:szCs w:val="24"/>
        </w:rPr>
        <w:t>2007</w:t>
      </w:r>
      <w:r>
        <w:rPr>
          <w:rFonts w:cs="Sabon LT Std"/>
          <w:color w:val="000000"/>
          <w:szCs w:val="24"/>
        </w:rPr>
        <w:t>)</w:t>
      </w:r>
      <w:r w:rsidRPr="00940B4E">
        <w:rPr>
          <w:rFonts w:cs="Sabon LT Std"/>
          <w:color w:val="000000"/>
          <w:szCs w:val="24"/>
        </w:rPr>
        <w:t>.</w:t>
      </w:r>
      <w:proofErr w:type="gramEnd"/>
      <w:r w:rsidRPr="00940B4E">
        <w:rPr>
          <w:rFonts w:cs="Sabon LT Std"/>
          <w:color w:val="000000"/>
          <w:szCs w:val="24"/>
        </w:rPr>
        <w:t xml:space="preserve"> </w:t>
      </w:r>
      <w:r w:rsidRPr="00940B4E">
        <w:rPr>
          <w:i/>
        </w:rPr>
        <w:t>Standard Test Method for Ductility of Bituminous Materials</w:t>
      </w:r>
      <w:r w:rsidRPr="00940B4E">
        <w:rPr>
          <w:rFonts w:cs="Sabon LT Std"/>
          <w:color w:val="000000"/>
          <w:szCs w:val="24"/>
        </w:rPr>
        <w:t>, West Conshohocken, PA: ASTM International.</w:t>
      </w:r>
    </w:p>
    <w:p w14:paraId="54834B31" w14:textId="77777777" w:rsidR="00564469" w:rsidRDefault="00564469" w:rsidP="007A6340">
      <w:pPr>
        <w:rPr>
          <w:rFonts w:cs="Sabon LT Std"/>
          <w:color w:val="000000"/>
          <w:szCs w:val="24"/>
        </w:rPr>
      </w:pPr>
    </w:p>
    <w:p w14:paraId="4BE88B17" w14:textId="77777777" w:rsidR="00564469" w:rsidRPr="00564469" w:rsidRDefault="00564469" w:rsidP="007A6340">
      <w:pPr>
        <w:rPr>
          <w:szCs w:val="24"/>
        </w:rPr>
      </w:pPr>
      <w:proofErr w:type="spellStart"/>
      <w:r w:rsidRPr="00564469">
        <w:rPr>
          <w:szCs w:val="24"/>
        </w:rPr>
        <w:t>Kahl</w:t>
      </w:r>
      <w:proofErr w:type="spellEnd"/>
      <w:r w:rsidRPr="00564469">
        <w:rPr>
          <w:szCs w:val="24"/>
        </w:rPr>
        <w:t xml:space="preserve">, T. W., </w:t>
      </w:r>
      <w:proofErr w:type="spellStart"/>
      <w:r w:rsidRPr="00564469">
        <w:rPr>
          <w:szCs w:val="24"/>
        </w:rPr>
        <w:t>Kauschinger</w:t>
      </w:r>
      <w:proofErr w:type="spellEnd"/>
      <w:r w:rsidRPr="00564469">
        <w:rPr>
          <w:szCs w:val="24"/>
        </w:rPr>
        <w:t xml:space="preserve">, J.L., and Perry, E.B. (1991). </w:t>
      </w:r>
      <w:r w:rsidRPr="00564469">
        <w:rPr>
          <w:i/>
          <w:szCs w:val="24"/>
        </w:rPr>
        <w:t>Plastic Concrete Cutoff Walls for Earth Dams</w:t>
      </w:r>
      <w:r w:rsidRPr="00564469">
        <w:rPr>
          <w:szCs w:val="24"/>
        </w:rPr>
        <w:t>, United States Army Corps of Engineers, Technical Report REMR-GT-15, Waterways Experimentation Station, Vicksburg, MS.</w:t>
      </w:r>
    </w:p>
    <w:p w14:paraId="332CDE9A" w14:textId="77777777" w:rsidR="008C2BDA" w:rsidRDefault="008C2BDA" w:rsidP="007A6340">
      <w:pPr>
        <w:rPr>
          <w:b/>
        </w:rPr>
      </w:pPr>
    </w:p>
    <w:p w14:paraId="5B648D57" w14:textId="77777777" w:rsidR="00564469" w:rsidRPr="002B1915" w:rsidRDefault="00564469" w:rsidP="00564469">
      <w:pPr>
        <w:rPr>
          <w:szCs w:val="24"/>
        </w:rPr>
      </w:pPr>
      <w:r>
        <w:rPr>
          <w:szCs w:val="24"/>
        </w:rPr>
        <w:t xml:space="preserve">NCHRP (1976), </w:t>
      </w:r>
      <w:r w:rsidRPr="002B1915">
        <w:rPr>
          <w:szCs w:val="24"/>
        </w:rPr>
        <w:t xml:space="preserve">Lime-Fly Ash-Stabilized Bases and </w:t>
      </w:r>
      <w:proofErr w:type="spellStart"/>
      <w:r w:rsidRPr="002B1915">
        <w:rPr>
          <w:szCs w:val="24"/>
        </w:rPr>
        <w:t>Subbases</w:t>
      </w:r>
      <w:proofErr w:type="spellEnd"/>
      <w:r w:rsidRPr="002B1915">
        <w:rPr>
          <w:szCs w:val="24"/>
        </w:rPr>
        <w:t xml:space="preserve">. </w:t>
      </w:r>
      <w:proofErr w:type="gramStart"/>
      <w:r w:rsidRPr="002B1915">
        <w:rPr>
          <w:szCs w:val="24"/>
        </w:rPr>
        <w:t>In National Cooperative Highway Research Program Synthesis of Highway Practice, No. 37, TRB, National Research Council, Washington, DC.</w:t>
      </w:r>
      <w:proofErr w:type="gramEnd"/>
      <w:r w:rsidRPr="002B1915">
        <w:rPr>
          <w:szCs w:val="24"/>
        </w:rPr>
        <w:t xml:space="preserve"> </w:t>
      </w:r>
    </w:p>
    <w:p w14:paraId="3B8F22D0" w14:textId="77777777" w:rsidR="00564469" w:rsidRDefault="00564469" w:rsidP="00564469">
      <w:pPr>
        <w:rPr>
          <w:b/>
        </w:rPr>
      </w:pPr>
    </w:p>
    <w:p w14:paraId="7D376817" w14:textId="77777777" w:rsidR="008C2BDA" w:rsidRDefault="008C2BDA" w:rsidP="002B1915">
      <w:pPr>
        <w:rPr>
          <w:szCs w:val="24"/>
        </w:rPr>
      </w:pPr>
      <w:proofErr w:type="gramStart"/>
      <w:r w:rsidRPr="002B1915">
        <w:rPr>
          <w:szCs w:val="24"/>
        </w:rPr>
        <w:lastRenderedPageBreak/>
        <w:t>Portland Cement Association,</w:t>
      </w:r>
      <w:r>
        <w:rPr>
          <w:szCs w:val="24"/>
        </w:rPr>
        <w:t xml:space="preserve"> (1992) </w:t>
      </w:r>
      <w:r w:rsidRPr="002B1915">
        <w:rPr>
          <w:i/>
          <w:szCs w:val="24"/>
        </w:rPr>
        <w:t>Soil-Cement Laboratory Handbook</w:t>
      </w:r>
      <w:r w:rsidRPr="002B1915">
        <w:rPr>
          <w:szCs w:val="24"/>
        </w:rPr>
        <w:t>.</w:t>
      </w:r>
      <w:proofErr w:type="gramEnd"/>
      <w:r w:rsidRPr="002B1915">
        <w:rPr>
          <w:szCs w:val="24"/>
        </w:rPr>
        <w:t xml:space="preserve"> Publication EB052.07S. </w:t>
      </w:r>
      <w:r>
        <w:rPr>
          <w:szCs w:val="24"/>
        </w:rPr>
        <w:t>Skokie, IL</w:t>
      </w:r>
      <w:r w:rsidRPr="002B1915">
        <w:rPr>
          <w:szCs w:val="24"/>
        </w:rPr>
        <w:t xml:space="preserve">. </w:t>
      </w:r>
    </w:p>
    <w:p w14:paraId="51A13516" w14:textId="77777777" w:rsidR="00564469" w:rsidRDefault="00564469" w:rsidP="002B1915">
      <w:pPr>
        <w:rPr>
          <w:szCs w:val="24"/>
        </w:rPr>
      </w:pPr>
    </w:p>
    <w:p w14:paraId="307E7B37" w14:textId="77777777" w:rsidR="00564469" w:rsidRPr="002B1915" w:rsidRDefault="00564469" w:rsidP="002B1915">
      <w:pPr>
        <w:rPr>
          <w:szCs w:val="24"/>
        </w:rPr>
      </w:pPr>
      <w:r w:rsidRPr="00564469">
        <w:rPr>
          <w:szCs w:val="24"/>
        </w:rPr>
        <w:t xml:space="preserve">Rice, J.D.; and Duncan, J.M. (2010). </w:t>
      </w:r>
      <w:proofErr w:type="gramStart"/>
      <w:r w:rsidRPr="00564469">
        <w:rPr>
          <w:i/>
          <w:szCs w:val="24"/>
        </w:rPr>
        <w:t>Deformation and Cracking of Seepage Barriers in Dams due to Changes in the Pore Pressure Regime</w:t>
      </w:r>
      <w:r w:rsidRPr="00564469">
        <w:rPr>
          <w:szCs w:val="24"/>
        </w:rPr>
        <w:t>.</w:t>
      </w:r>
      <w:proofErr w:type="gramEnd"/>
      <w:r w:rsidRPr="00564469">
        <w:rPr>
          <w:szCs w:val="24"/>
        </w:rPr>
        <w:t xml:space="preserve"> </w:t>
      </w:r>
      <w:proofErr w:type="gramStart"/>
      <w:r w:rsidRPr="00564469">
        <w:rPr>
          <w:szCs w:val="24"/>
        </w:rPr>
        <w:t xml:space="preserve">ASCE Journal of Geotechnical and </w:t>
      </w:r>
      <w:proofErr w:type="spellStart"/>
      <w:r w:rsidRPr="00564469">
        <w:rPr>
          <w:szCs w:val="24"/>
        </w:rPr>
        <w:t>Geoenvironmental</w:t>
      </w:r>
      <w:proofErr w:type="spellEnd"/>
      <w:r w:rsidRPr="00564469">
        <w:rPr>
          <w:szCs w:val="24"/>
        </w:rPr>
        <w:t xml:space="preserve"> Engineering, Vol. 136, No. 1, </w:t>
      </w:r>
      <w:proofErr w:type="spellStart"/>
      <w:r w:rsidRPr="00564469">
        <w:rPr>
          <w:szCs w:val="24"/>
        </w:rPr>
        <w:t>pp</w:t>
      </w:r>
      <w:proofErr w:type="spellEnd"/>
      <w:r w:rsidRPr="00564469">
        <w:rPr>
          <w:szCs w:val="24"/>
        </w:rPr>
        <w:t xml:space="preserve"> 16-25.</w:t>
      </w:r>
      <w:proofErr w:type="gramEnd"/>
    </w:p>
    <w:p w14:paraId="7F49A7DF" w14:textId="77777777" w:rsidR="008C2BDA" w:rsidRDefault="008C2BDA" w:rsidP="007A6340">
      <w:pPr>
        <w:rPr>
          <w:b/>
        </w:rPr>
      </w:pPr>
    </w:p>
    <w:sectPr w:rsidR="008C2BDA" w:rsidSect="0055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99D44" w14:textId="77777777" w:rsidR="004170F2" w:rsidRDefault="004170F2" w:rsidP="00BB0B66">
      <w:r>
        <w:separator/>
      </w:r>
    </w:p>
  </w:endnote>
  <w:endnote w:type="continuationSeparator" w:id="0">
    <w:p w14:paraId="4A74944C" w14:textId="77777777" w:rsidR="004170F2" w:rsidRDefault="004170F2" w:rsidP="00B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A0D5F" w14:textId="77777777" w:rsidR="004170F2" w:rsidRDefault="004170F2" w:rsidP="00BB0B66">
      <w:r>
        <w:separator/>
      </w:r>
    </w:p>
  </w:footnote>
  <w:footnote w:type="continuationSeparator" w:id="0">
    <w:p w14:paraId="5AEDA9D4" w14:textId="77777777" w:rsidR="004170F2" w:rsidRDefault="004170F2" w:rsidP="00BB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F22"/>
    <w:multiLevelType w:val="hybridMultilevel"/>
    <w:tmpl w:val="751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E30ED"/>
    <w:multiLevelType w:val="multilevel"/>
    <w:tmpl w:val="4E36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A129AD"/>
    <w:multiLevelType w:val="multilevel"/>
    <w:tmpl w:val="18C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4DAA"/>
    <w:multiLevelType w:val="multilevel"/>
    <w:tmpl w:val="4C5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13"/>
    <w:rsid w:val="00021C8A"/>
    <w:rsid w:val="000263F1"/>
    <w:rsid w:val="00035C29"/>
    <w:rsid w:val="000404B1"/>
    <w:rsid w:val="000418A4"/>
    <w:rsid w:val="00063E1A"/>
    <w:rsid w:val="000663F5"/>
    <w:rsid w:val="00073055"/>
    <w:rsid w:val="0009428F"/>
    <w:rsid w:val="000D6F1E"/>
    <w:rsid w:val="00112F6D"/>
    <w:rsid w:val="0011408E"/>
    <w:rsid w:val="00115791"/>
    <w:rsid w:val="0013078D"/>
    <w:rsid w:val="00135B09"/>
    <w:rsid w:val="00136473"/>
    <w:rsid w:val="00136F81"/>
    <w:rsid w:val="00154B4E"/>
    <w:rsid w:val="00160181"/>
    <w:rsid w:val="00166304"/>
    <w:rsid w:val="00176303"/>
    <w:rsid w:val="00177B0A"/>
    <w:rsid w:val="001A262C"/>
    <w:rsid w:val="001F46FE"/>
    <w:rsid w:val="002002EA"/>
    <w:rsid w:val="00206592"/>
    <w:rsid w:val="00213478"/>
    <w:rsid w:val="0024286A"/>
    <w:rsid w:val="002549A8"/>
    <w:rsid w:val="00261A37"/>
    <w:rsid w:val="00264CFF"/>
    <w:rsid w:val="002749A5"/>
    <w:rsid w:val="00293EAB"/>
    <w:rsid w:val="002B1915"/>
    <w:rsid w:val="002F2F60"/>
    <w:rsid w:val="00300B8F"/>
    <w:rsid w:val="0030217B"/>
    <w:rsid w:val="003154D2"/>
    <w:rsid w:val="0032031F"/>
    <w:rsid w:val="00347DAB"/>
    <w:rsid w:val="00353513"/>
    <w:rsid w:val="00376D01"/>
    <w:rsid w:val="004170F2"/>
    <w:rsid w:val="00471E83"/>
    <w:rsid w:val="00472938"/>
    <w:rsid w:val="0047688A"/>
    <w:rsid w:val="004A48F8"/>
    <w:rsid w:val="004C31F0"/>
    <w:rsid w:val="005137BD"/>
    <w:rsid w:val="00527A0B"/>
    <w:rsid w:val="00553F45"/>
    <w:rsid w:val="00564469"/>
    <w:rsid w:val="0056629B"/>
    <w:rsid w:val="005820FE"/>
    <w:rsid w:val="005850DB"/>
    <w:rsid w:val="005A0AEC"/>
    <w:rsid w:val="005A0E97"/>
    <w:rsid w:val="005A57F5"/>
    <w:rsid w:val="005B4218"/>
    <w:rsid w:val="005D1DE8"/>
    <w:rsid w:val="005F1444"/>
    <w:rsid w:val="005F3C93"/>
    <w:rsid w:val="005F4967"/>
    <w:rsid w:val="005F7860"/>
    <w:rsid w:val="00631407"/>
    <w:rsid w:val="00655EE3"/>
    <w:rsid w:val="006608A5"/>
    <w:rsid w:val="006710CD"/>
    <w:rsid w:val="00672CAE"/>
    <w:rsid w:val="006A4261"/>
    <w:rsid w:val="006A67D3"/>
    <w:rsid w:val="006B0D10"/>
    <w:rsid w:val="006C22E0"/>
    <w:rsid w:val="006C26AD"/>
    <w:rsid w:val="006C5674"/>
    <w:rsid w:val="006C7D05"/>
    <w:rsid w:val="006F71C3"/>
    <w:rsid w:val="006F7B58"/>
    <w:rsid w:val="007567F0"/>
    <w:rsid w:val="007744C8"/>
    <w:rsid w:val="007A6340"/>
    <w:rsid w:val="007B3C8C"/>
    <w:rsid w:val="007B46C5"/>
    <w:rsid w:val="008036CD"/>
    <w:rsid w:val="00813D58"/>
    <w:rsid w:val="00833D30"/>
    <w:rsid w:val="008878B8"/>
    <w:rsid w:val="008C2BDA"/>
    <w:rsid w:val="008C7848"/>
    <w:rsid w:val="008D3C30"/>
    <w:rsid w:val="008E5E55"/>
    <w:rsid w:val="00904C4D"/>
    <w:rsid w:val="0092280C"/>
    <w:rsid w:val="0094082C"/>
    <w:rsid w:val="00940B4E"/>
    <w:rsid w:val="0096434B"/>
    <w:rsid w:val="009737E6"/>
    <w:rsid w:val="0097716F"/>
    <w:rsid w:val="009827D2"/>
    <w:rsid w:val="00984DF9"/>
    <w:rsid w:val="009B4B93"/>
    <w:rsid w:val="009C38C9"/>
    <w:rsid w:val="009E1167"/>
    <w:rsid w:val="009E11B3"/>
    <w:rsid w:val="00A1108E"/>
    <w:rsid w:val="00A23DC2"/>
    <w:rsid w:val="00A40283"/>
    <w:rsid w:val="00A47119"/>
    <w:rsid w:val="00A6675B"/>
    <w:rsid w:val="00AC17A3"/>
    <w:rsid w:val="00AE2F66"/>
    <w:rsid w:val="00B15F93"/>
    <w:rsid w:val="00B161A4"/>
    <w:rsid w:val="00B33CD2"/>
    <w:rsid w:val="00B66810"/>
    <w:rsid w:val="00B83072"/>
    <w:rsid w:val="00BB0B66"/>
    <w:rsid w:val="00BC50C2"/>
    <w:rsid w:val="00BD302C"/>
    <w:rsid w:val="00C11729"/>
    <w:rsid w:val="00C17399"/>
    <w:rsid w:val="00C536CB"/>
    <w:rsid w:val="00CD29FB"/>
    <w:rsid w:val="00CD4994"/>
    <w:rsid w:val="00D922B8"/>
    <w:rsid w:val="00DB20A1"/>
    <w:rsid w:val="00DB28E9"/>
    <w:rsid w:val="00DB749D"/>
    <w:rsid w:val="00DC4EE3"/>
    <w:rsid w:val="00DE5C0F"/>
    <w:rsid w:val="00E14811"/>
    <w:rsid w:val="00E47B22"/>
    <w:rsid w:val="00E65394"/>
    <w:rsid w:val="00E6659F"/>
    <w:rsid w:val="00E756EE"/>
    <w:rsid w:val="00EA674C"/>
    <w:rsid w:val="00EA7CEC"/>
    <w:rsid w:val="00F03F93"/>
    <w:rsid w:val="00F3615F"/>
    <w:rsid w:val="00F50EFA"/>
    <w:rsid w:val="00F511BA"/>
    <w:rsid w:val="00F511E2"/>
    <w:rsid w:val="00F75D86"/>
    <w:rsid w:val="00F85F96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B2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418A4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791"/>
    <w:pPr>
      <w:keepNext/>
      <w:keepLines/>
      <w:outlineLvl w:val="0"/>
    </w:pPr>
    <w:rPr>
      <w:rFonts w:ascii="Calibri" w:eastAsia="Times New Roman" w:hAnsi="Calibri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9"/>
    <w:qFormat/>
    <w:rsid w:val="00115791"/>
    <w:pPr>
      <w:outlineLvl w:val="1"/>
    </w:pPr>
    <w:rPr>
      <w:rFonts w:ascii="Calibri" w:eastAsia="Times New Roman" w:hAnsi="Calibr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0B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40B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5791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115791"/>
    <w:rPr>
      <w:rFonts w:eastAsia="Times New Roman" w:cs="Times New Roman"/>
      <w:b/>
      <w:bCs/>
      <w:i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semiHidden/>
    <w:rsid w:val="0035351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53513"/>
    <w:pPr>
      <w:spacing w:before="100" w:beforeAutospacing="1" w:after="100" w:afterAutospacing="1"/>
    </w:pPr>
    <w:rPr>
      <w:rFonts w:eastAsia="Times New Roman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3615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361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80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10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B0B6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B0B6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BB0B6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64CFF"/>
    <w:pPr>
      <w:ind w:left="720"/>
      <w:contextualSpacing/>
    </w:pPr>
  </w:style>
  <w:style w:type="character" w:styleId="Strong">
    <w:name w:val="Strong"/>
    <w:uiPriority w:val="99"/>
    <w:qFormat/>
    <w:locked/>
    <w:rsid w:val="00AC17A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418A4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791"/>
    <w:pPr>
      <w:keepNext/>
      <w:keepLines/>
      <w:outlineLvl w:val="0"/>
    </w:pPr>
    <w:rPr>
      <w:rFonts w:ascii="Calibri" w:eastAsia="Times New Roman" w:hAnsi="Calibri"/>
      <w:b/>
      <w:bCs/>
      <w:sz w:val="26"/>
      <w:szCs w:val="28"/>
    </w:rPr>
  </w:style>
  <w:style w:type="paragraph" w:styleId="Heading2">
    <w:name w:val="heading 2"/>
    <w:basedOn w:val="Normal"/>
    <w:link w:val="Heading2Char"/>
    <w:uiPriority w:val="99"/>
    <w:qFormat/>
    <w:rsid w:val="00115791"/>
    <w:pPr>
      <w:outlineLvl w:val="1"/>
    </w:pPr>
    <w:rPr>
      <w:rFonts w:ascii="Calibri" w:eastAsia="Times New Roman" w:hAnsi="Calibr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0B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40B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5791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115791"/>
    <w:rPr>
      <w:rFonts w:eastAsia="Times New Roman" w:cs="Times New Roman"/>
      <w:b/>
      <w:bCs/>
      <w:i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semiHidden/>
    <w:rsid w:val="0035351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53513"/>
    <w:pPr>
      <w:spacing w:before="100" w:beforeAutospacing="1" w:after="100" w:afterAutospacing="1"/>
    </w:pPr>
    <w:rPr>
      <w:rFonts w:eastAsia="Times New Roman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3615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361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803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10C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B0B6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B0B6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BB0B6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64CFF"/>
    <w:pPr>
      <w:ind w:left="720"/>
      <w:contextualSpacing/>
    </w:pPr>
  </w:style>
  <w:style w:type="character" w:styleId="Strong">
    <w:name w:val="Strong"/>
    <w:uiPriority w:val="99"/>
    <w:qFormat/>
    <w:locked/>
    <w:rsid w:val="00AC17A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3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im.bay@usu.edu" TargetMode="External"/><Relationship Id="rId9" Type="http://schemas.openxmlformats.org/officeDocument/2006/relationships/hyperlink" Target="mailto:john.rice@us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Number MPC-(Given by NDSU)</vt:lpstr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Number MPC-(Given by NDSU)</dc:title>
  <dc:subject/>
  <dc:creator>denver.tolliver</dc:creator>
  <cp:keywords/>
  <dc:description/>
  <cp:lastModifiedBy>Megan Bohn</cp:lastModifiedBy>
  <cp:revision>2</cp:revision>
  <cp:lastPrinted>2015-01-28T23:27:00Z</cp:lastPrinted>
  <dcterms:created xsi:type="dcterms:W3CDTF">2015-06-22T13:05:00Z</dcterms:created>
  <dcterms:modified xsi:type="dcterms:W3CDTF">2015-06-22T13:05:00Z</dcterms:modified>
</cp:coreProperties>
</file>