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600" w:firstRow="0" w:lastRow="0" w:firstColumn="0" w:lastColumn="0" w:noHBand="1" w:noVBand="1"/>
      </w:tblPr>
      <w:tblGrid>
        <w:gridCol w:w="3685"/>
        <w:gridCol w:w="6390"/>
      </w:tblGrid>
      <w:tr w:rsidR="00574196" w:rsidRPr="004B070F" w14:paraId="77B97A80" w14:textId="77777777" w:rsidTr="003A31DA">
        <w:trPr>
          <w:jc w:val="center"/>
        </w:trPr>
        <w:tc>
          <w:tcPr>
            <w:tcW w:w="10075" w:type="dxa"/>
            <w:gridSpan w:val="2"/>
          </w:tcPr>
          <w:p w14:paraId="13D1EE8E" w14:textId="77777777" w:rsidR="00574196" w:rsidRPr="004B070F" w:rsidRDefault="00574196">
            <w:pPr>
              <w:rPr>
                <w:rFonts w:cs="Times New Roman"/>
                <w:b/>
                <w:sz w:val="28"/>
                <w:szCs w:val="28"/>
              </w:rPr>
            </w:pPr>
            <w:proofErr w:type="gramStart"/>
            <w:r w:rsidRPr="004B070F">
              <w:rPr>
                <w:rFonts w:cs="Times New Roman"/>
                <w:b/>
                <w:sz w:val="28"/>
                <w:szCs w:val="28"/>
              </w:rPr>
              <w:t>UTC  Project</w:t>
            </w:r>
            <w:proofErr w:type="gramEnd"/>
            <w:r w:rsidRPr="004B070F">
              <w:rPr>
                <w:rFonts w:cs="Times New Roman"/>
                <w:b/>
                <w:sz w:val="28"/>
                <w:szCs w:val="28"/>
              </w:rPr>
              <w:t xml:space="preserve">  Information</w:t>
            </w:r>
          </w:p>
        </w:tc>
      </w:tr>
      <w:tr w:rsidR="00574196" w:rsidRPr="004B070F" w14:paraId="1CE06A77" w14:textId="77777777" w:rsidTr="003A31DA">
        <w:trPr>
          <w:jc w:val="center"/>
        </w:trPr>
        <w:tc>
          <w:tcPr>
            <w:tcW w:w="3685" w:type="dxa"/>
          </w:tcPr>
          <w:p w14:paraId="219D7431" w14:textId="77777777" w:rsidR="00574196" w:rsidRPr="004B070F" w:rsidRDefault="00574196">
            <w:pPr>
              <w:rPr>
                <w:rFonts w:cs="Times New Roman"/>
              </w:rPr>
            </w:pPr>
            <w:r>
              <w:rPr>
                <w:rFonts w:cs="Times New Roman"/>
              </w:rPr>
              <w:t>Project Title</w:t>
            </w:r>
          </w:p>
        </w:tc>
        <w:tc>
          <w:tcPr>
            <w:tcW w:w="6390" w:type="dxa"/>
          </w:tcPr>
          <w:p w14:paraId="307F40A9" w14:textId="77777777" w:rsidR="00574196" w:rsidRPr="004B7858" w:rsidRDefault="00574196" w:rsidP="00362A7B">
            <w:pPr>
              <w:rPr>
                <w:rFonts w:cs="Times New Roman"/>
                <w:szCs w:val="24"/>
              </w:rPr>
            </w:pPr>
            <w:r w:rsidRPr="00A022A0">
              <w:rPr>
                <w:rFonts w:cs="Times New Roman"/>
                <w:noProof/>
                <w:szCs w:val="24"/>
              </w:rPr>
              <w:t>MPC-550</w:t>
            </w:r>
            <w:r>
              <w:rPr>
                <w:rFonts w:cs="Times New Roman"/>
                <w:szCs w:val="24"/>
              </w:rPr>
              <w:t xml:space="preserve"> – </w:t>
            </w:r>
            <w:r w:rsidRPr="00A022A0">
              <w:rPr>
                <w:rFonts w:cs="Times New Roman"/>
                <w:noProof/>
                <w:szCs w:val="24"/>
              </w:rPr>
              <w:t>Safety Support System for Highway-Rail Grade Crossing</w:t>
            </w:r>
          </w:p>
        </w:tc>
      </w:tr>
      <w:tr w:rsidR="00574196" w:rsidRPr="004B070F" w14:paraId="1A52A646" w14:textId="77777777" w:rsidTr="003A31DA">
        <w:trPr>
          <w:jc w:val="center"/>
        </w:trPr>
        <w:tc>
          <w:tcPr>
            <w:tcW w:w="3685" w:type="dxa"/>
          </w:tcPr>
          <w:p w14:paraId="68610D40" w14:textId="77777777" w:rsidR="00574196" w:rsidRPr="004B070F" w:rsidRDefault="00574196">
            <w:pPr>
              <w:rPr>
                <w:rFonts w:cs="Times New Roman"/>
              </w:rPr>
            </w:pPr>
            <w:r>
              <w:rPr>
                <w:rFonts w:cs="Times New Roman"/>
              </w:rPr>
              <w:t>University</w:t>
            </w:r>
          </w:p>
        </w:tc>
        <w:tc>
          <w:tcPr>
            <w:tcW w:w="6390" w:type="dxa"/>
          </w:tcPr>
          <w:p w14:paraId="6E464F07" w14:textId="77777777" w:rsidR="00574196" w:rsidRPr="004B7858" w:rsidRDefault="00574196" w:rsidP="00362A7B">
            <w:pPr>
              <w:rPr>
                <w:rFonts w:eastAsia="Calibri" w:cs="Times New Roman"/>
                <w:szCs w:val="24"/>
              </w:rPr>
            </w:pPr>
            <w:r w:rsidRPr="00A022A0">
              <w:rPr>
                <w:rFonts w:eastAsia="Calibri" w:cs="Times New Roman"/>
                <w:noProof/>
                <w:szCs w:val="24"/>
              </w:rPr>
              <w:t>North Dakota State University</w:t>
            </w:r>
          </w:p>
        </w:tc>
      </w:tr>
      <w:tr w:rsidR="00574196" w:rsidRPr="004B070F" w14:paraId="5E1CB931" w14:textId="77777777" w:rsidTr="003A31DA">
        <w:trPr>
          <w:jc w:val="center"/>
        </w:trPr>
        <w:tc>
          <w:tcPr>
            <w:tcW w:w="3685" w:type="dxa"/>
          </w:tcPr>
          <w:p w14:paraId="6FC1801A" w14:textId="77777777" w:rsidR="00574196" w:rsidRPr="004B070F" w:rsidRDefault="00574196">
            <w:pPr>
              <w:rPr>
                <w:rFonts w:cs="Times New Roman"/>
              </w:rPr>
            </w:pPr>
            <w:r>
              <w:rPr>
                <w:rFonts w:cs="Times New Roman"/>
              </w:rPr>
              <w:t>Principal Investigator</w:t>
            </w:r>
          </w:p>
        </w:tc>
        <w:tc>
          <w:tcPr>
            <w:tcW w:w="6390" w:type="dxa"/>
          </w:tcPr>
          <w:p w14:paraId="6D5C59E2" w14:textId="77777777" w:rsidR="00574196" w:rsidRPr="007247F1" w:rsidRDefault="00574196" w:rsidP="007247F1">
            <w:pPr>
              <w:autoSpaceDE w:val="0"/>
              <w:autoSpaceDN w:val="0"/>
              <w:adjustRightInd w:val="0"/>
              <w:rPr>
                <w:rFonts w:eastAsia="Times New Roman" w:cs="Times New Roman"/>
                <w:noProof/>
                <w:color w:val="000000"/>
                <w:szCs w:val="24"/>
              </w:rPr>
            </w:pPr>
            <w:r w:rsidRPr="00A022A0">
              <w:rPr>
                <w:rFonts w:eastAsia="Times New Roman" w:cs="Times New Roman"/>
                <w:noProof/>
                <w:color w:val="000000"/>
                <w:szCs w:val="24"/>
              </w:rPr>
              <w:t>Pan Lu</w:t>
            </w:r>
          </w:p>
          <w:p w14:paraId="0AF1176F" w14:textId="77777777" w:rsidR="00574196" w:rsidRPr="004B7858" w:rsidRDefault="00574196" w:rsidP="007247F1">
            <w:pPr>
              <w:autoSpaceDE w:val="0"/>
              <w:autoSpaceDN w:val="0"/>
              <w:adjustRightInd w:val="0"/>
              <w:rPr>
                <w:rFonts w:eastAsia="Times New Roman" w:cs="Times New Roman"/>
                <w:color w:val="000000"/>
                <w:szCs w:val="24"/>
              </w:rPr>
            </w:pPr>
            <w:r w:rsidRPr="00A022A0">
              <w:rPr>
                <w:rFonts w:eastAsia="Times New Roman" w:cs="Times New Roman"/>
                <w:noProof/>
                <w:color w:val="000000"/>
                <w:szCs w:val="24"/>
              </w:rPr>
              <w:t>Denver Tolliver</w:t>
            </w:r>
          </w:p>
        </w:tc>
      </w:tr>
      <w:tr w:rsidR="00574196" w:rsidRPr="004B070F" w14:paraId="4DF91A45" w14:textId="77777777" w:rsidTr="003A31DA">
        <w:trPr>
          <w:jc w:val="center"/>
        </w:trPr>
        <w:tc>
          <w:tcPr>
            <w:tcW w:w="3685" w:type="dxa"/>
          </w:tcPr>
          <w:p w14:paraId="0EF96BAA" w14:textId="77777777" w:rsidR="00574196" w:rsidRPr="004B070F" w:rsidRDefault="00574196">
            <w:pPr>
              <w:rPr>
                <w:rFonts w:cs="Times New Roman"/>
              </w:rPr>
            </w:pPr>
            <w:r>
              <w:rPr>
                <w:rFonts w:cs="Times New Roman"/>
              </w:rPr>
              <w:t>PI Contact Information</w:t>
            </w:r>
          </w:p>
        </w:tc>
        <w:tc>
          <w:tcPr>
            <w:tcW w:w="6390" w:type="dxa"/>
          </w:tcPr>
          <w:p w14:paraId="11A40A97" w14:textId="77777777" w:rsidR="00574196" w:rsidRDefault="00574196" w:rsidP="00382035">
            <w:pPr>
              <w:rPr>
                <w:rFonts w:cs="Times New Roman"/>
                <w:szCs w:val="24"/>
              </w:rPr>
            </w:pPr>
            <w:r w:rsidRPr="00A022A0">
              <w:rPr>
                <w:rFonts w:cs="Times New Roman"/>
                <w:noProof/>
                <w:szCs w:val="24"/>
              </w:rPr>
              <w:t>Pan Lu</w:t>
            </w:r>
          </w:p>
          <w:p w14:paraId="5D36EE50" w14:textId="77777777" w:rsidR="00574196" w:rsidRDefault="00574196" w:rsidP="00382035">
            <w:pPr>
              <w:rPr>
                <w:rFonts w:cs="Times New Roman"/>
                <w:szCs w:val="24"/>
              </w:rPr>
            </w:pPr>
            <w:r w:rsidRPr="00A022A0">
              <w:rPr>
                <w:rFonts w:cs="Times New Roman"/>
                <w:noProof/>
                <w:szCs w:val="24"/>
              </w:rPr>
              <w:t>Associate Professor</w:t>
            </w:r>
          </w:p>
          <w:p w14:paraId="1F615A64" w14:textId="77777777" w:rsidR="009A2A86" w:rsidRDefault="00574196" w:rsidP="00382035">
            <w:pPr>
              <w:rPr>
                <w:rFonts w:cs="Times New Roman"/>
                <w:noProof/>
                <w:szCs w:val="24"/>
              </w:rPr>
            </w:pPr>
            <w:r w:rsidRPr="00A022A0">
              <w:rPr>
                <w:rFonts w:cs="Times New Roman"/>
                <w:noProof/>
                <w:szCs w:val="24"/>
              </w:rPr>
              <w:t>North Dakota State University</w:t>
            </w:r>
          </w:p>
          <w:p w14:paraId="74D5744F" w14:textId="77777777" w:rsidR="00574196" w:rsidRDefault="00574196" w:rsidP="00382035">
            <w:pPr>
              <w:rPr>
                <w:rFonts w:cs="Times New Roman"/>
                <w:szCs w:val="24"/>
              </w:rPr>
            </w:pPr>
            <w:r w:rsidRPr="00A022A0">
              <w:rPr>
                <w:rFonts w:cs="Times New Roman"/>
                <w:noProof/>
                <w:szCs w:val="24"/>
              </w:rPr>
              <w:t>Upper Great Plains Transportation Institute</w:t>
            </w:r>
          </w:p>
          <w:p w14:paraId="3BDBED91" w14:textId="77777777" w:rsidR="00574196" w:rsidRDefault="00574196" w:rsidP="00382035">
            <w:pPr>
              <w:rPr>
                <w:rFonts w:cs="Times New Roman"/>
                <w:szCs w:val="24"/>
              </w:rPr>
            </w:pPr>
            <w:r>
              <w:rPr>
                <w:rFonts w:cs="Times New Roman"/>
                <w:szCs w:val="24"/>
              </w:rPr>
              <w:t xml:space="preserve">Phone: </w:t>
            </w:r>
            <w:r w:rsidR="009A2A86">
              <w:rPr>
                <w:rFonts w:cs="Times New Roman"/>
                <w:szCs w:val="24"/>
              </w:rPr>
              <w:t>(</w:t>
            </w:r>
            <w:r w:rsidRPr="00A022A0">
              <w:rPr>
                <w:rFonts w:cs="Times New Roman"/>
                <w:noProof/>
                <w:szCs w:val="24"/>
              </w:rPr>
              <w:t>701</w:t>
            </w:r>
            <w:r w:rsidR="009A2A86">
              <w:rPr>
                <w:rFonts w:cs="Times New Roman"/>
                <w:noProof/>
                <w:szCs w:val="24"/>
              </w:rPr>
              <w:t xml:space="preserve">) </w:t>
            </w:r>
            <w:r w:rsidRPr="00A022A0">
              <w:rPr>
                <w:rFonts w:cs="Times New Roman"/>
                <w:noProof/>
                <w:szCs w:val="24"/>
              </w:rPr>
              <w:t>212-3795</w:t>
            </w:r>
          </w:p>
          <w:p w14:paraId="7F3598AE" w14:textId="77777777" w:rsidR="00574196" w:rsidRDefault="00574196" w:rsidP="00382035">
            <w:pPr>
              <w:rPr>
                <w:rFonts w:cs="Times New Roman"/>
                <w:szCs w:val="24"/>
              </w:rPr>
            </w:pPr>
            <w:r>
              <w:rPr>
                <w:rFonts w:cs="Times New Roman"/>
                <w:szCs w:val="24"/>
              </w:rPr>
              <w:t xml:space="preserve">Email: </w:t>
            </w:r>
            <w:r w:rsidRPr="00A022A0">
              <w:rPr>
                <w:rFonts w:cs="Times New Roman"/>
                <w:noProof/>
                <w:szCs w:val="24"/>
              </w:rPr>
              <w:t>pan.lu@ndsu.edu</w:t>
            </w:r>
          </w:p>
          <w:p w14:paraId="21193FEA" w14:textId="2C0EA253" w:rsidR="00574196" w:rsidRPr="00BA164E" w:rsidRDefault="00574196" w:rsidP="00382035">
            <w:pPr>
              <w:rPr>
                <w:rFonts w:cs="Times New Roman"/>
                <w:szCs w:val="24"/>
              </w:rPr>
            </w:pPr>
            <w:r>
              <w:rPr>
                <w:rFonts w:cs="Times New Roman"/>
                <w:szCs w:val="24"/>
              </w:rPr>
              <w:t xml:space="preserve">ORCID: </w:t>
            </w:r>
            <w:r w:rsidRPr="00A022A0">
              <w:rPr>
                <w:rFonts w:cs="Times New Roman"/>
                <w:noProof/>
                <w:szCs w:val="24"/>
              </w:rPr>
              <w:t>0000-0002-1640-3598</w:t>
            </w:r>
          </w:p>
          <w:p w14:paraId="60B5A6CF" w14:textId="77777777" w:rsidR="00574196" w:rsidRDefault="00574196" w:rsidP="00BA164E">
            <w:pPr>
              <w:spacing w:before="240"/>
              <w:rPr>
                <w:rFonts w:cs="Times New Roman"/>
                <w:szCs w:val="24"/>
              </w:rPr>
            </w:pPr>
            <w:r w:rsidRPr="00A022A0">
              <w:rPr>
                <w:rFonts w:cs="Times New Roman"/>
                <w:noProof/>
                <w:szCs w:val="24"/>
              </w:rPr>
              <w:t>Denver Tolliver</w:t>
            </w:r>
          </w:p>
          <w:p w14:paraId="33CD32E2" w14:textId="77777777" w:rsidR="00574196" w:rsidRDefault="00574196" w:rsidP="00382035">
            <w:pPr>
              <w:rPr>
                <w:rFonts w:cs="Times New Roman"/>
                <w:szCs w:val="24"/>
              </w:rPr>
            </w:pPr>
            <w:r w:rsidRPr="00A022A0">
              <w:rPr>
                <w:rFonts w:cs="Times New Roman"/>
                <w:noProof/>
                <w:szCs w:val="24"/>
              </w:rPr>
              <w:t>Director</w:t>
            </w:r>
          </w:p>
          <w:p w14:paraId="6225E037" w14:textId="77777777" w:rsidR="009A2A86" w:rsidRDefault="00574196" w:rsidP="00382035">
            <w:pPr>
              <w:rPr>
                <w:rFonts w:cs="Times New Roman"/>
                <w:bCs/>
                <w:noProof/>
                <w:szCs w:val="24"/>
              </w:rPr>
            </w:pPr>
            <w:r w:rsidRPr="00C7764F">
              <w:rPr>
                <w:rFonts w:cs="Times New Roman"/>
                <w:bCs/>
                <w:noProof/>
                <w:szCs w:val="24"/>
              </w:rPr>
              <w:t>North Dakota State University</w:t>
            </w:r>
          </w:p>
          <w:p w14:paraId="62178F32" w14:textId="77777777" w:rsidR="00574196" w:rsidRPr="00C7764F" w:rsidRDefault="00574196" w:rsidP="00382035">
            <w:pPr>
              <w:rPr>
                <w:rFonts w:cs="Times New Roman"/>
                <w:szCs w:val="24"/>
              </w:rPr>
            </w:pPr>
            <w:r w:rsidRPr="00A022A0">
              <w:rPr>
                <w:rFonts w:cs="Times New Roman"/>
                <w:noProof/>
                <w:szCs w:val="24"/>
              </w:rPr>
              <w:t>Upper Great Plains Transportation Institute</w:t>
            </w:r>
          </w:p>
          <w:p w14:paraId="3CDD5C9D" w14:textId="77777777" w:rsidR="00574196" w:rsidRDefault="00574196" w:rsidP="00382035">
            <w:pPr>
              <w:rPr>
                <w:rFonts w:cs="Times New Roman"/>
                <w:szCs w:val="24"/>
              </w:rPr>
            </w:pPr>
            <w:r>
              <w:rPr>
                <w:noProof/>
              </w:rPr>
              <w:t xml:space="preserve">Phone: </w:t>
            </w:r>
            <w:r w:rsidR="009A2A86">
              <w:rPr>
                <w:noProof/>
              </w:rPr>
              <w:t>(</w:t>
            </w:r>
            <w:r w:rsidR="009A2A86">
              <w:rPr>
                <w:rFonts w:cs="Times New Roman"/>
                <w:noProof/>
                <w:szCs w:val="24"/>
              </w:rPr>
              <w:t xml:space="preserve">701) </w:t>
            </w:r>
            <w:r w:rsidRPr="00A022A0">
              <w:rPr>
                <w:rFonts w:cs="Times New Roman"/>
                <w:noProof/>
                <w:szCs w:val="24"/>
              </w:rPr>
              <w:t>231-7190</w:t>
            </w:r>
          </w:p>
          <w:p w14:paraId="1336B8A6" w14:textId="77777777" w:rsidR="00574196" w:rsidRDefault="00574196" w:rsidP="00382035">
            <w:pPr>
              <w:rPr>
                <w:rFonts w:cs="Times New Roman"/>
                <w:szCs w:val="24"/>
              </w:rPr>
            </w:pPr>
            <w:r>
              <w:rPr>
                <w:noProof/>
              </w:rPr>
              <w:t xml:space="preserve">Email: </w:t>
            </w:r>
            <w:r w:rsidR="00E90A52">
              <w:rPr>
                <w:rFonts w:cs="Times New Roman"/>
                <w:noProof/>
                <w:szCs w:val="24"/>
              </w:rPr>
              <w:t>d</w:t>
            </w:r>
            <w:r w:rsidRPr="00A022A0">
              <w:rPr>
                <w:rFonts w:cs="Times New Roman"/>
                <w:noProof/>
                <w:szCs w:val="24"/>
              </w:rPr>
              <w:t>enver.tolliver@ndsu.edu</w:t>
            </w:r>
          </w:p>
          <w:p w14:paraId="355661F7" w14:textId="77777777" w:rsidR="00574196" w:rsidRDefault="00574196" w:rsidP="00382035">
            <w:pPr>
              <w:rPr>
                <w:rFonts w:cs="Times New Roman"/>
                <w:szCs w:val="24"/>
              </w:rPr>
            </w:pPr>
            <w:r>
              <w:rPr>
                <w:noProof/>
              </w:rPr>
              <w:t>ORCID: 0000-0002-8522-9394</w:t>
            </w:r>
          </w:p>
        </w:tc>
      </w:tr>
      <w:tr w:rsidR="00574196" w:rsidRPr="004B070F" w14:paraId="1D53B5C4" w14:textId="77777777" w:rsidTr="003A31DA">
        <w:trPr>
          <w:jc w:val="center"/>
        </w:trPr>
        <w:tc>
          <w:tcPr>
            <w:tcW w:w="3685" w:type="dxa"/>
          </w:tcPr>
          <w:p w14:paraId="6871A53A" w14:textId="77777777" w:rsidR="00574196" w:rsidRPr="004B070F" w:rsidRDefault="00574196" w:rsidP="00947EC7">
            <w:pPr>
              <w:rPr>
                <w:rFonts w:cs="Times New Roman"/>
              </w:rPr>
            </w:pPr>
            <w:r w:rsidRPr="004B070F">
              <w:rPr>
                <w:rFonts w:cs="Times New Roman"/>
              </w:rPr>
              <w:t xml:space="preserve">Funding </w:t>
            </w:r>
            <w:r>
              <w:rPr>
                <w:rFonts w:cs="Times New Roman"/>
              </w:rPr>
              <w:t>Source(s) and Amounts Provided (by each agency or organization)</w:t>
            </w:r>
          </w:p>
        </w:tc>
        <w:tc>
          <w:tcPr>
            <w:tcW w:w="6390" w:type="dxa"/>
          </w:tcPr>
          <w:p w14:paraId="6ADC8BF1" w14:textId="77777777" w:rsidR="00574196" w:rsidRDefault="00574196">
            <w:pPr>
              <w:rPr>
                <w:rFonts w:cs="Times New Roman"/>
              </w:rPr>
            </w:pPr>
            <w:r w:rsidRPr="00A022A0">
              <w:rPr>
                <w:rFonts w:cs="Times New Roman"/>
                <w:noProof/>
              </w:rPr>
              <w:t>USDOT, Research and Innovative Technology Administration</w:t>
            </w:r>
          </w:p>
          <w:p w14:paraId="3320606B" w14:textId="5B076232" w:rsidR="00574196" w:rsidRDefault="00574196">
            <w:pPr>
              <w:rPr>
                <w:rFonts w:cs="Times New Roman"/>
              </w:rPr>
            </w:pPr>
            <w:r w:rsidRPr="00BF275C">
              <w:rPr>
                <w:rFonts w:eastAsia="Times New Roman" w:cs="Times New Roman"/>
                <w:noProof/>
                <w:color w:val="000000"/>
                <w:szCs w:val="24"/>
              </w:rPr>
              <w:t>$</w:t>
            </w:r>
            <w:r>
              <w:rPr>
                <w:rFonts w:eastAsia="Times New Roman" w:cs="Times New Roman"/>
                <w:noProof/>
                <w:color w:val="000000"/>
                <w:szCs w:val="24"/>
              </w:rPr>
              <w:t>75,168</w:t>
            </w:r>
          </w:p>
          <w:p w14:paraId="7C1FBA8A" w14:textId="77777777" w:rsidR="00574196" w:rsidRDefault="00574196" w:rsidP="00BA164E">
            <w:pPr>
              <w:spacing w:before="240"/>
              <w:rPr>
                <w:rFonts w:cs="Times New Roman"/>
              </w:rPr>
            </w:pPr>
            <w:r w:rsidRPr="00A022A0">
              <w:rPr>
                <w:rFonts w:cs="Times New Roman"/>
                <w:noProof/>
              </w:rPr>
              <w:t>NDSU/UGPTI/TL</w:t>
            </w:r>
          </w:p>
          <w:p w14:paraId="68443FE2" w14:textId="77777777" w:rsidR="00574196" w:rsidRPr="004B070F" w:rsidRDefault="00574196">
            <w:pPr>
              <w:rPr>
                <w:rFonts w:cs="Times New Roman"/>
              </w:rPr>
            </w:pPr>
            <w:r w:rsidRPr="00BF275C">
              <w:rPr>
                <w:rFonts w:eastAsia="Times New Roman" w:cs="Times New Roman"/>
                <w:noProof/>
                <w:color w:val="000000"/>
                <w:szCs w:val="24"/>
              </w:rPr>
              <w:t>$</w:t>
            </w:r>
            <w:r>
              <w:rPr>
                <w:rFonts w:eastAsia="Times New Roman" w:cs="Times New Roman"/>
                <w:noProof/>
                <w:color w:val="000000"/>
                <w:szCs w:val="24"/>
              </w:rPr>
              <w:t>75,168</w:t>
            </w:r>
          </w:p>
        </w:tc>
      </w:tr>
      <w:tr w:rsidR="00574196" w:rsidRPr="004B070F" w14:paraId="5736B2E5" w14:textId="77777777" w:rsidTr="003A31DA">
        <w:trPr>
          <w:jc w:val="center"/>
        </w:trPr>
        <w:tc>
          <w:tcPr>
            <w:tcW w:w="3685" w:type="dxa"/>
          </w:tcPr>
          <w:p w14:paraId="2F70F2ED" w14:textId="77777777" w:rsidR="00574196" w:rsidRPr="004B070F" w:rsidRDefault="00574196" w:rsidP="00947EC7">
            <w:pPr>
              <w:rPr>
                <w:rFonts w:cs="Times New Roman"/>
              </w:rPr>
            </w:pPr>
            <w:r>
              <w:rPr>
                <w:rFonts w:cs="Times New Roman"/>
              </w:rPr>
              <w:t xml:space="preserve">Total </w:t>
            </w:r>
            <w:r w:rsidRPr="004B070F">
              <w:rPr>
                <w:rFonts w:cs="Times New Roman"/>
              </w:rPr>
              <w:t>Project Cost</w:t>
            </w:r>
          </w:p>
        </w:tc>
        <w:tc>
          <w:tcPr>
            <w:tcW w:w="6390" w:type="dxa"/>
          </w:tcPr>
          <w:p w14:paraId="1B2435F5" w14:textId="77777777" w:rsidR="00574196" w:rsidRDefault="00574196">
            <w:pPr>
              <w:rPr>
                <w:rFonts w:cs="Times New Roman"/>
              </w:rPr>
            </w:pPr>
            <w:r w:rsidRPr="00BF275C">
              <w:rPr>
                <w:rFonts w:eastAsia="Times New Roman" w:cs="Times New Roman"/>
                <w:noProof/>
                <w:color w:val="000000"/>
                <w:szCs w:val="24"/>
              </w:rPr>
              <w:t>$</w:t>
            </w:r>
            <w:r>
              <w:rPr>
                <w:rFonts w:eastAsia="Times New Roman" w:cs="Times New Roman"/>
                <w:noProof/>
                <w:color w:val="000000"/>
                <w:szCs w:val="24"/>
              </w:rPr>
              <w:t>150,336</w:t>
            </w:r>
          </w:p>
        </w:tc>
      </w:tr>
      <w:tr w:rsidR="00574196" w:rsidRPr="004B070F" w14:paraId="211AB114" w14:textId="77777777" w:rsidTr="003A31DA">
        <w:trPr>
          <w:jc w:val="center"/>
        </w:trPr>
        <w:tc>
          <w:tcPr>
            <w:tcW w:w="3685" w:type="dxa"/>
          </w:tcPr>
          <w:p w14:paraId="6879F28D" w14:textId="77777777" w:rsidR="00574196" w:rsidRPr="004B070F" w:rsidRDefault="00574196" w:rsidP="00947EC7">
            <w:pPr>
              <w:rPr>
                <w:rFonts w:cs="Times New Roman"/>
              </w:rPr>
            </w:pPr>
            <w:r w:rsidRPr="004B070F">
              <w:rPr>
                <w:rFonts w:cs="Times New Roman"/>
              </w:rPr>
              <w:t>Agency ID or Contract Number</w:t>
            </w:r>
          </w:p>
        </w:tc>
        <w:tc>
          <w:tcPr>
            <w:tcW w:w="6390" w:type="dxa"/>
          </w:tcPr>
          <w:p w14:paraId="295AF2A0" w14:textId="77777777" w:rsidR="00574196" w:rsidRPr="004B070F" w:rsidRDefault="00574196">
            <w:pPr>
              <w:rPr>
                <w:rFonts w:cs="Times New Roman"/>
              </w:rPr>
            </w:pPr>
            <w:r w:rsidRPr="00A022A0">
              <w:rPr>
                <w:rFonts w:cs="Times New Roman"/>
                <w:noProof/>
              </w:rPr>
              <w:t>69A3551747108</w:t>
            </w:r>
          </w:p>
        </w:tc>
      </w:tr>
      <w:tr w:rsidR="00574196" w:rsidRPr="004B070F" w14:paraId="4F6B068C" w14:textId="77777777" w:rsidTr="003A31DA">
        <w:trPr>
          <w:jc w:val="center"/>
        </w:trPr>
        <w:tc>
          <w:tcPr>
            <w:tcW w:w="3685" w:type="dxa"/>
          </w:tcPr>
          <w:p w14:paraId="180814A6" w14:textId="77777777" w:rsidR="00574196" w:rsidRPr="004B070F" w:rsidRDefault="00574196" w:rsidP="00947EC7">
            <w:pPr>
              <w:rPr>
                <w:rFonts w:cs="Times New Roman"/>
              </w:rPr>
            </w:pPr>
            <w:r>
              <w:rPr>
                <w:rFonts w:cs="Times New Roman"/>
              </w:rPr>
              <w:t>Start and End Dates</w:t>
            </w:r>
          </w:p>
        </w:tc>
        <w:tc>
          <w:tcPr>
            <w:tcW w:w="6390" w:type="dxa"/>
          </w:tcPr>
          <w:p w14:paraId="090CE99E" w14:textId="1FA65BC9" w:rsidR="00574196" w:rsidRPr="004B070F" w:rsidRDefault="00574196">
            <w:pPr>
              <w:rPr>
                <w:rFonts w:cs="Times New Roman"/>
                <w:highlight w:val="yellow"/>
              </w:rPr>
            </w:pPr>
            <w:r w:rsidRPr="00A022A0">
              <w:rPr>
                <w:rFonts w:cs="Times New Roman"/>
                <w:noProof/>
              </w:rPr>
              <w:t>December 1, 2017 to July 31, 202</w:t>
            </w:r>
            <w:r w:rsidR="00362A7B">
              <w:rPr>
                <w:rFonts w:cs="Times New Roman"/>
                <w:noProof/>
              </w:rPr>
              <w:t>3</w:t>
            </w:r>
          </w:p>
        </w:tc>
      </w:tr>
      <w:tr w:rsidR="00574196" w:rsidRPr="004B070F" w14:paraId="752A2ACC" w14:textId="77777777" w:rsidTr="003A31DA">
        <w:trPr>
          <w:jc w:val="center"/>
        </w:trPr>
        <w:tc>
          <w:tcPr>
            <w:tcW w:w="3685" w:type="dxa"/>
          </w:tcPr>
          <w:p w14:paraId="57E712E2" w14:textId="77777777" w:rsidR="00574196" w:rsidRPr="004B070F" w:rsidRDefault="00574196">
            <w:pPr>
              <w:rPr>
                <w:rFonts w:cs="Times New Roman"/>
              </w:rPr>
            </w:pPr>
            <w:r w:rsidRPr="004B070F">
              <w:rPr>
                <w:rFonts w:cs="Times New Roman"/>
              </w:rPr>
              <w:t xml:space="preserve">Brief </w:t>
            </w:r>
            <w:r>
              <w:rPr>
                <w:rFonts w:cs="Times New Roman"/>
              </w:rPr>
              <w:t>Description of Research Project</w:t>
            </w:r>
          </w:p>
        </w:tc>
        <w:tc>
          <w:tcPr>
            <w:tcW w:w="6390" w:type="dxa"/>
          </w:tcPr>
          <w:p w14:paraId="56CC42C4" w14:textId="77777777" w:rsidR="00574196" w:rsidRPr="004B7858" w:rsidRDefault="00AB4E1A" w:rsidP="00362A7B">
            <w:pPr>
              <w:rPr>
                <w:rFonts w:cs="Times New Roman"/>
                <w:szCs w:val="24"/>
              </w:rPr>
            </w:pPr>
            <w:r w:rsidRPr="00AB4E1A">
              <w:rPr>
                <w:rFonts w:cs="Times New Roman"/>
                <w:szCs w:val="24"/>
              </w:rPr>
              <w:t xml:space="preserve">This research is to develop a safety support system for improvement-resource allocation decision making. There are several critical components. Defining safety performance index is essential, therefore, forecasting models or priority ranking techniques can be utilized to rank the crossings that are not only the "hazard" crossings but also can benefit the most from improvements. A systematic method for identifying and ranking crossings for safety or operational improvement is necessary for an explicit decision making process to improve HRGC. The most common approaches to identify the crossings for safety improvement is the hazard index technique. A hazard index is utilized to calculate a value that ranks crossing in relative terms with a higher index associated with a more hazardous crossing while evaluating mainly on fixed effects of traffic exposure factors, travel speed factors, and accident history. Few existing formula also looked at train tracks and lane count factor. Protection factors. None of the existing formulae takes into consideration of </w:t>
            </w:r>
            <w:r w:rsidRPr="00AB4E1A">
              <w:rPr>
                <w:rFonts w:cs="Times New Roman"/>
                <w:szCs w:val="24"/>
              </w:rPr>
              <w:lastRenderedPageBreak/>
              <w:t>both crash frequency estimates and the severity of crashes. Moreover, the existing hazard index approach could not truly identify the most dangerous crossing with limited site indicator factors and could not identify the crossings, which will benefit the most from available improvement activities. In other words, few research aggregate frequency and severity forecasts to estimate crossing hazard. Even with the aggregated hazard measure, hazard alone cannot help decision maker to allocate resources effectively and efficiently. To understand how effective each engineering countermeasure to improve safety performance and reduce hazard at grade crossings is very critical for safety improvement decision-making. Therefore, analyze the potential effectiveness of crossing devices treatments based on specific attributes of each crossing is another critical research focus of the study.</w:t>
            </w:r>
          </w:p>
        </w:tc>
      </w:tr>
      <w:tr w:rsidR="00574196" w:rsidRPr="004B070F" w14:paraId="21B8F45F" w14:textId="77777777" w:rsidTr="003A31DA">
        <w:trPr>
          <w:trHeight w:val="611"/>
          <w:jc w:val="center"/>
        </w:trPr>
        <w:tc>
          <w:tcPr>
            <w:tcW w:w="3685" w:type="dxa"/>
          </w:tcPr>
          <w:p w14:paraId="6DB8CCE4" w14:textId="77777777" w:rsidR="00574196" w:rsidRPr="004B070F" w:rsidRDefault="00574196">
            <w:pPr>
              <w:rPr>
                <w:rFonts w:cs="Times New Roman"/>
              </w:rPr>
            </w:pPr>
            <w:r w:rsidRPr="004B070F">
              <w:rPr>
                <w:rFonts w:cs="Times New Roman"/>
              </w:rPr>
              <w:lastRenderedPageBreak/>
              <w:t>Describe Implementation of Research Outcomes (or why not implemented)</w:t>
            </w:r>
          </w:p>
          <w:p w14:paraId="43275C96" w14:textId="77777777" w:rsidR="00574196" w:rsidRPr="004B070F" w:rsidRDefault="00574196" w:rsidP="00FD3D97">
            <w:pPr>
              <w:spacing w:before="240"/>
              <w:rPr>
                <w:rFonts w:cs="Times New Roman"/>
              </w:rPr>
            </w:pPr>
            <w:r w:rsidRPr="004B070F">
              <w:rPr>
                <w:rFonts w:cs="Times New Roman"/>
              </w:rPr>
              <w:t>Place Any Photos Here</w:t>
            </w:r>
          </w:p>
        </w:tc>
        <w:tc>
          <w:tcPr>
            <w:tcW w:w="6390" w:type="dxa"/>
          </w:tcPr>
          <w:p w14:paraId="5817BCF5" w14:textId="70E829B0" w:rsidR="00574196" w:rsidRPr="004B070F" w:rsidRDefault="00362A7B" w:rsidP="00362A7B">
            <w:r w:rsidRPr="00362A7B">
              <w:t xml:space="preserve">US DOT adopted the research results in the Crash Modification Factors (CFM) clearinghouse for railroad grade crossings at </w:t>
            </w:r>
            <w:hyperlink r:id="rId6" w:history="1">
              <w:r w:rsidR="00356AA5" w:rsidRPr="007D39FF">
                <w:rPr>
                  <w:rStyle w:val="Hyperlink"/>
                </w:rPr>
                <w:t>https://www.cmfclearinghouse.org/results.cfm?qst=</w:t>
              </w:r>
            </w:hyperlink>
            <w:r w:rsidRPr="00362A7B">
              <w:t>. Our results are being shared under the 1) install stop sign, 2) install standard flashing lights, and 3) install audible devices category. The CMFs from this Feds hosted website are used by state and local agencies for their grade crossing safety improvement decision makings throughout the entire United States. In addition, the use of those factors from this website is recommended in USDOT's Benefit-Cost Guidelines and state or local agencies may use these factors for CRISI grant proposals for conducting the B/C analysis selection.</w:t>
            </w:r>
          </w:p>
        </w:tc>
      </w:tr>
      <w:tr w:rsidR="00574196" w:rsidRPr="004B070F" w14:paraId="7163ACE7" w14:textId="77777777" w:rsidTr="003A31DA">
        <w:trPr>
          <w:trHeight w:val="467"/>
          <w:jc w:val="center"/>
        </w:trPr>
        <w:tc>
          <w:tcPr>
            <w:tcW w:w="3685" w:type="dxa"/>
          </w:tcPr>
          <w:p w14:paraId="4F83B388" w14:textId="77777777" w:rsidR="00574196" w:rsidRPr="004B070F" w:rsidRDefault="00574196">
            <w:pPr>
              <w:rPr>
                <w:rFonts w:cs="Times New Roman"/>
              </w:rPr>
            </w:pPr>
            <w:r w:rsidRPr="004B070F">
              <w:rPr>
                <w:rFonts w:cs="Times New Roman"/>
              </w:rPr>
              <w:t>Impacts/Benefits of Implementation</w:t>
            </w:r>
          </w:p>
          <w:p w14:paraId="0A8B4C24" w14:textId="77777777" w:rsidR="00574196" w:rsidRPr="004B070F" w:rsidRDefault="00574196">
            <w:pPr>
              <w:rPr>
                <w:rFonts w:cs="Times New Roman"/>
              </w:rPr>
            </w:pPr>
            <w:r>
              <w:rPr>
                <w:rFonts w:cs="Times New Roman"/>
              </w:rPr>
              <w:t>(actual, not anticipated)</w:t>
            </w:r>
          </w:p>
        </w:tc>
        <w:tc>
          <w:tcPr>
            <w:tcW w:w="6390" w:type="dxa"/>
          </w:tcPr>
          <w:p w14:paraId="1CF4AB7D" w14:textId="74A961F3" w:rsidR="00574196" w:rsidRPr="004B070F" w:rsidRDefault="00356AA5" w:rsidP="00465817">
            <w:pPr>
              <w:rPr>
                <w:rFonts w:cs="Times New Roman"/>
              </w:rPr>
            </w:pPr>
            <w:r w:rsidRPr="00356AA5">
              <w:rPr>
                <w:rFonts w:cs="Times New Roman"/>
              </w:rPr>
              <w:t>Our results are being shared under the 1) install stop sign, 2) install standard flashing lights, and 3) install audible devices category. The CMFs from this Feds hosted website are used by state and local agencies for their grade crossing safety improvement decision makings throughout the entire United States. In addition, the use of those factors from this website is recommended in USDOT's Benefit-Cost Guidelines and state or local agencies may use these factors for CRISI grant proposals for conducting the B/C analysis selection. Our results will assist agencies to conduct analysis and make at-grade crossing safety improvement decision makings.</w:t>
            </w:r>
          </w:p>
        </w:tc>
      </w:tr>
      <w:tr w:rsidR="00574196" w:rsidRPr="004B070F" w14:paraId="1B68F72B" w14:textId="77777777" w:rsidTr="003A31DA">
        <w:trPr>
          <w:jc w:val="center"/>
        </w:trPr>
        <w:tc>
          <w:tcPr>
            <w:tcW w:w="3685" w:type="dxa"/>
          </w:tcPr>
          <w:p w14:paraId="17ED1999" w14:textId="77777777" w:rsidR="00574196" w:rsidRPr="004B070F" w:rsidRDefault="00574196">
            <w:pPr>
              <w:rPr>
                <w:rFonts w:cs="Times New Roman"/>
              </w:rPr>
            </w:pPr>
            <w:r w:rsidRPr="004B070F">
              <w:rPr>
                <w:rFonts w:cs="Times New Roman"/>
              </w:rPr>
              <w:t>Web Links</w:t>
            </w:r>
          </w:p>
          <w:p w14:paraId="7DFBC9D6" w14:textId="77777777" w:rsidR="00574196" w:rsidRPr="004B070F" w:rsidRDefault="00574196" w:rsidP="005739F2">
            <w:pPr>
              <w:pStyle w:val="ListParagraph"/>
              <w:numPr>
                <w:ilvl w:val="0"/>
                <w:numId w:val="2"/>
              </w:numPr>
              <w:rPr>
                <w:rFonts w:cs="Times New Roman"/>
              </w:rPr>
            </w:pPr>
            <w:r w:rsidRPr="004B070F">
              <w:rPr>
                <w:rFonts w:cs="Times New Roman"/>
              </w:rPr>
              <w:t>Reports</w:t>
            </w:r>
          </w:p>
          <w:p w14:paraId="3F7B0CFB" w14:textId="77777777" w:rsidR="00574196" w:rsidRPr="004B7858" w:rsidRDefault="00574196" w:rsidP="004519D5">
            <w:pPr>
              <w:pStyle w:val="ListParagraph"/>
              <w:numPr>
                <w:ilvl w:val="0"/>
                <w:numId w:val="2"/>
              </w:numPr>
              <w:rPr>
                <w:rFonts w:cs="Times New Roman"/>
              </w:rPr>
            </w:pPr>
            <w:r w:rsidRPr="004B070F">
              <w:rPr>
                <w:rFonts w:cs="Times New Roman"/>
              </w:rPr>
              <w:t>Project Website</w:t>
            </w:r>
          </w:p>
        </w:tc>
        <w:tc>
          <w:tcPr>
            <w:tcW w:w="6390" w:type="dxa"/>
          </w:tcPr>
          <w:p w14:paraId="6EADC4EF" w14:textId="4ED25F85" w:rsidR="00574196" w:rsidRPr="00BA5515" w:rsidRDefault="00BA5515" w:rsidP="00BA5515">
            <w:pPr>
              <w:pStyle w:val="ListParagraph"/>
              <w:numPr>
                <w:ilvl w:val="0"/>
                <w:numId w:val="2"/>
              </w:numPr>
              <w:ind w:left="424"/>
              <w:rPr>
                <w:rFonts w:cs="Times New Roman"/>
              </w:rPr>
            </w:pPr>
            <w:r>
              <w:rPr>
                <w:rFonts w:cs="Times New Roman"/>
              </w:rPr>
              <w:t xml:space="preserve">MPC Research Report – </w:t>
            </w:r>
            <w:hyperlink r:id="rId7" w:history="1">
              <w:r w:rsidRPr="00BA5515">
                <w:rPr>
                  <w:rStyle w:val="Hyperlink"/>
                  <w:rFonts w:cs="Times New Roman"/>
                </w:rPr>
                <w:t>Safety Support System for Highway Rail Grade Crossings</w:t>
              </w:r>
            </w:hyperlink>
          </w:p>
        </w:tc>
      </w:tr>
    </w:tbl>
    <w:p w14:paraId="24DEE74B" w14:textId="77777777" w:rsidR="00574196" w:rsidRPr="00F25513" w:rsidRDefault="00574196">
      <w:pPr>
        <w:rPr>
          <w:rFonts w:cs="Times New Roman"/>
        </w:rPr>
      </w:pPr>
    </w:p>
    <w:sectPr w:rsidR="00574196" w:rsidRPr="00F25513" w:rsidSect="00574196">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4626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506122">
    <w:abstractNumId w:val="3"/>
  </w:num>
  <w:num w:numId="2" w16cid:durableId="742222531">
    <w:abstractNumId w:val="1"/>
  </w:num>
  <w:num w:numId="3" w16cid:durableId="1498692626">
    <w:abstractNumId w:val="4"/>
  </w:num>
  <w:num w:numId="4" w16cid:durableId="179710138">
    <w:abstractNumId w:val="2"/>
  </w:num>
  <w:num w:numId="5" w16cid:durableId="1228147434">
    <w:abstractNumId w:val="0"/>
  </w:num>
  <w:num w:numId="6" w16cid:durableId="1861892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36F2D"/>
    <w:rsid w:val="0005162D"/>
    <w:rsid w:val="00052C68"/>
    <w:rsid w:val="00055F72"/>
    <w:rsid w:val="000722B1"/>
    <w:rsid w:val="000C56F3"/>
    <w:rsid w:val="000F25D1"/>
    <w:rsid w:val="000F3EED"/>
    <w:rsid w:val="00144705"/>
    <w:rsid w:val="00156068"/>
    <w:rsid w:val="00167D11"/>
    <w:rsid w:val="0017516D"/>
    <w:rsid w:val="00194A73"/>
    <w:rsid w:val="001B74CD"/>
    <w:rsid w:val="001F2747"/>
    <w:rsid w:val="00200B97"/>
    <w:rsid w:val="002201AC"/>
    <w:rsid w:val="002241F0"/>
    <w:rsid w:val="00265E1D"/>
    <w:rsid w:val="002F44C5"/>
    <w:rsid w:val="002F6FE5"/>
    <w:rsid w:val="00345ECC"/>
    <w:rsid w:val="00356AA5"/>
    <w:rsid w:val="00357985"/>
    <w:rsid w:val="00362A7B"/>
    <w:rsid w:val="003771C8"/>
    <w:rsid w:val="0037769A"/>
    <w:rsid w:val="00382035"/>
    <w:rsid w:val="003A1F97"/>
    <w:rsid w:val="003A31DA"/>
    <w:rsid w:val="003E378B"/>
    <w:rsid w:val="003F4CA3"/>
    <w:rsid w:val="00400D46"/>
    <w:rsid w:val="0041641D"/>
    <w:rsid w:val="0042016D"/>
    <w:rsid w:val="004222E3"/>
    <w:rsid w:val="0043128E"/>
    <w:rsid w:val="004519D5"/>
    <w:rsid w:val="00461EFB"/>
    <w:rsid w:val="00465817"/>
    <w:rsid w:val="004801CC"/>
    <w:rsid w:val="004B070F"/>
    <w:rsid w:val="004B684F"/>
    <w:rsid w:val="004B7858"/>
    <w:rsid w:val="004D13A5"/>
    <w:rsid w:val="004E2473"/>
    <w:rsid w:val="005037E6"/>
    <w:rsid w:val="005103AC"/>
    <w:rsid w:val="00520CCC"/>
    <w:rsid w:val="00522A6B"/>
    <w:rsid w:val="005418BF"/>
    <w:rsid w:val="005739F2"/>
    <w:rsid w:val="00574196"/>
    <w:rsid w:val="00591E92"/>
    <w:rsid w:val="005A100B"/>
    <w:rsid w:val="005A34A9"/>
    <w:rsid w:val="005D64F4"/>
    <w:rsid w:val="005E1A27"/>
    <w:rsid w:val="00626C8E"/>
    <w:rsid w:val="00636265"/>
    <w:rsid w:val="00644861"/>
    <w:rsid w:val="006740CA"/>
    <w:rsid w:val="006770E3"/>
    <w:rsid w:val="006B398F"/>
    <w:rsid w:val="006C5A77"/>
    <w:rsid w:val="007247F1"/>
    <w:rsid w:val="007364B2"/>
    <w:rsid w:val="0073654F"/>
    <w:rsid w:val="007700A5"/>
    <w:rsid w:val="00784948"/>
    <w:rsid w:val="007904EF"/>
    <w:rsid w:val="007A0C7D"/>
    <w:rsid w:val="007C24D2"/>
    <w:rsid w:val="007C5540"/>
    <w:rsid w:val="007C6A8C"/>
    <w:rsid w:val="007F1224"/>
    <w:rsid w:val="00820860"/>
    <w:rsid w:val="00832B74"/>
    <w:rsid w:val="00834DD0"/>
    <w:rsid w:val="0085153B"/>
    <w:rsid w:val="00863038"/>
    <w:rsid w:val="008C4D3A"/>
    <w:rsid w:val="00947EC7"/>
    <w:rsid w:val="00960AD7"/>
    <w:rsid w:val="00965963"/>
    <w:rsid w:val="0098520A"/>
    <w:rsid w:val="009A00F9"/>
    <w:rsid w:val="009A2A86"/>
    <w:rsid w:val="009B6455"/>
    <w:rsid w:val="009D1318"/>
    <w:rsid w:val="009D71A7"/>
    <w:rsid w:val="00A1029D"/>
    <w:rsid w:val="00A326E7"/>
    <w:rsid w:val="00A47880"/>
    <w:rsid w:val="00A61B30"/>
    <w:rsid w:val="00AB37E5"/>
    <w:rsid w:val="00AB4E1A"/>
    <w:rsid w:val="00AD1BD6"/>
    <w:rsid w:val="00AD6E8F"/>
    <w:rsid w:val="00AE2AF2"/>
    <w:rsid w:val="00AE5B09"/>
    <w:rsid w:val="00B01048"/>
    <w:rsid w:val="00B56CF1"/>
    <w:rsid w:val="00B63F87"/>
    <w:rsid w:val="00B65EB3"/>
    <w:rsid w:val="00B95278"/>
    <w:rsid w:val="00BA164E"/>
    <w:rsid w:val="00BA5515"/>
    <w:rsid w:val="00BD2E5F"/>
    <w:rsid w:val="00BD7D3D"/>
    <w:rsid w:val="00BF275C"/>
    <w:rsid w:val="00C05C39"/>
    <w:rsid w:val="00C7764F"/>
    <w:rsid w:val="00C86AC4"/>
    <w:rsid w:val="00C93D8B"/>
    <w:rsid w:val="00CE1984"/>
    <w:rsid w:val="00CF3C6A"/>
    <w:rsid w:val="00D35F1D"/>
    <w:rsid w:val="00D50207"/>
    <w:rsid w:val="00D56016"/>
    <w:rsid w:val="00D76096"/>
    <w:rsid w:val="00DA713E"/>
    <w:rsid w:val="00DB4ECC"/>
    <w:rsid w:val="00DB767A"/>
    <w:rsid w:val="00DE700B"/>
    <w:rsid w:val="00DF3B4C"/>
    <w:rsid w:val="00E2770B"/>
    <w:rsid w:val="00E52614"/>
    <w:rsid w:val="00E90782"/>
    <w:rsid w:val="00E90A52"/>
    <w:rsid w:val="00EB69C5"/>
    <w:rsid w:val="00EE529C"/>
    <w:rsid w:val="00F04DF2"/>
    <w:rsid w:val="00F25513"/>
    <w:rsid w:val="00F33865"/>
    <w:rsid w:val="00F45EA0"/>
    <w:rsid w:val="00F50059"/>
    <w:rsid w:val="00F54229"/>
    <w:rsid w:val="00F6271A"/>
    <w:rsid w:val="00F80C7F"/>
    <w:rsid w:val="00F96D62"/>
    <w:rsid w:val="00FD3D97"/>
    <w:rsid w:val="00FD5E85"/>
    <w:rsid w:val="00FF565C"/>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AB01"/>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A7B"/>
    <w:rPr>
      <w:rFonts w:ascii="Times New Roman" w:hAnsi="Times New Roman"/>
    </w:rPr>
  </w:style>
  <w:style w:type="paragraph" w:styleId="Heading1">
    <w:name w:val="heading 1"/>
    <w:basedOn w:val="Normal"/>
    <w:next w:val="Normal"/>
    <w:link w:val="Heading1Char"/>
    <w:uiPriority w:val="9"/>
    <w:qFormat/>
    <w:rsid w:val="00FD5E85"/>
    <w:pPr>
      <w:keepNext/>
      <w:keepLines/>
      <w:spacing w:after="120"/>
      <w:outlineLvl w:val="0"/>
    </w:pPr>
    <w:rPr>
      <w:rFonts w:eastAsiaTheme="majorEastAsi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eastAsia="Times New Roman" w:cs="Times New Roman"/>
      <w:sz w:val="24"/>
      <w:szCs w:val="24"/>
    </w:rPr>
  </w:style>
  <w:style w:type="character" w:styleId="UnresolvedMention">
    <w:name w:val="Unresolved Mention"/>
    <w:basedOn w:val="DefaultParagraphFont"/>
    <w:uiPriority w:val="99"/>
    <w:semiHidden/>
    <w:unhideWhenUsed/>
    <w:rsid w:val="00356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gpti.org/resources/reports/details.php?id=1119&amp;program=mp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mfclearinghouse.org/results.cfm?qs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45229-620A-497F-8D50-5A77AA7FA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UTC Project Information | Safety Support System for Highway-Rail Grade Crossing</vt:lpstr>
    </vt:vector>
  </TitlesOfParts>
  <Company>DOT</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Safety Support System for Highway-Rail Grade Crossing</dc:title>
  <dc:creator/>
  <cp:lastModifiedBy>Nichols, Patrick</cp:lastModifiedBy>
  <cp:revision>25</cp:revision>
  <cp:lastPrinted>2023-03-13T06:09:00Z</cp:lastPrinted>
  <dcterms:created xsi:type="dcterms:W3CDTF">2017-12-12T16:27:00Z</dcterms:created>
  <dcterms:modified xsi:type="dcterms:W3CDTF">2023-03-13T06:09:00Z</dcterms:modified>
</cp:coreProperties>
</file>