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574196" w:rsidRPr="004B070F" w:rsidTr="007247F1">
        <w:trPr>
          <w:jc w:val="center"/>
        </w:trPr>
        <w:tc>
          <w:tcPr>
            <w:tcW w:w="10075" w:type="dxa"/>
            <w:gridSpan w:val="2"/>
          </w:tcPr>
          <w:p w:rsidR="00574196" w:rsidRPr="00E0303B" w:rsidRDefault="00574196">
            <w:pPr>
              <w:rPr>
                <w:rFonts w:ascii="Times New Roman" w:hAnsi="Times New Roman" w:cs="Times New Roman"/>
                <w:b/>
                <w:sz w:val="28"/>
                <w:szCs w:val="28"/>
              </w:rPr>
            </w:pPr>
            <w:r w:rsidRPr="00E0303B">
              <w:rPr>
                <w:rFonts w:ascii="Times New Roman" w:hAnsi="Times New Roman" w:cs="Times New Roman"/>
                <w:b/>
                <w:sz w:val="28"/>
                <w:szCs w:val="28"/>
              </w:rPr>
              <w:t>UTC  Project  Information</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Project Title</w:t>
            </w:r>
          </w:p>
        </w:tc>
        <w:tc>
          <w:tcPr>
            <w:tcW w:w="6390" w:type="dxa"/>
          </w:tcPr>
          <w:p w:rsidR="00574196" w:rsidRPr="00E0303B" w:rsidRDefault="00574196" w:rsidP="004B7858">
            <w:pPr>
              <w:jc w:val="both"/>
              <w:rPr>
                <w:rFonts w:ascii="Times New Roman" w:hAnsi="Times New Roman" w:cs="Times New Roman"/>
              </w:rPr>
            </w:pPr>
            <w:r w:rsidRPr="00E0303B">
              <w:rPr>
                <w:rFonts w:ascii="Times New Roman" w:hAnsi="Times New Roman" w:cs="Times New Roman"/>
                <w:noProof/>
              </w:rPr>
              <w:t>MPC-554</w:t>
            </w:r>
            <w:r w:rsidRPr="00E0303B">
              <w:rPr>
                <w:rFonts w:ascii="Times New Roman" w:hAnsi="Times New Roman" w:cs="Times New Roman"/>
              </w:rPr>
              <w:t xml:space="preserve"> – </w:t>
            </w:r>
            <w:r w:rsidRPr="00E0303B">
              <w:rPr>
                <w:rFonts w:ascii="Times New Roman" w:hAnsi="Times New Roman" w:cs="Times New Roman"/>
                <w:noProof/>
              </w:rPr>
              <w:t>Composite-based Rehabilitation of Constructed Bridge Girders with Grooved Geometrics</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University</w:t>
            </w:r>
          </w:p>
        </w:tc>
        <w:tc>
          <w:tcPr>
            <w:tcW w:w="6390" w:type="dxa"/>
          </w:tcPr>
          <w:p w:rsidR="00574196" w:rsidRPr="00E0303B" w:rsidRDefault="00574196" w:rsidP="004B7858">
            <w:pPr>
              <w:jc w:val="both"/>
              <w:rPr>
                <w:rFonts w:ascii="Times New Roman" w:eastAsia="Calibri" w:hAnsi="Times New Roman" w:cs="Times New Roman"/>
              </w:rPr>
            </w:pPr>
            <w:r w:rsidRPr="00E0303B">
              <w:rPr>
                <w:rFonts w:ascii="Times New Roman" w:eastAsia="Calibri" w:hAnsi="Times New Roman" w:cs="Times New Roman"/>
                <w:noProof/>
              </w:rPr>
              <w:t>University of Colorado Denver</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Principal Investigator</w:t>
            </w:r>
          </w:p>
        </w:tc>
        <w:tc>
          <w:tcPr>
            <w:tcW w:w="6390" w:type="dxa"/>
          </w:tcPr>
          <w:p w:rsidR="00574196" w:rsidRPr="00E0303B" w:rsidRDefault="00574196" w:rsidP="007247F1">
            <w:pPr>
              <w:autoSpaceDE w:val="0"/>
              <w:autoSpaceDN w:val="0"/>
              <w:adjustRightInd w:val="0"/>
              <w:rPr>
                <w:rFonts w:ascii="Times New Roman" w:eastAsia="Times New Roman" w:hAnsi="Times New Roman" w:cs="Times New Roman"/>
                <w:color w:val="000000"/>
              </w:rPr>
            </w:pPr>
            <w:r w:rsidRPr="00E0303B">
              <w:rPr>
                <w:rFonts w:ascii="Times New Roman" w:eastAsia="Times New Roman" w:hAnsi="Times New Roman" w:cs="Times New Roman"/>
                <w:noProof/>
                <w:color w:val="000000"/>
              </w:rPr>
              <w:t>Yail Jimmy Kim</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PI Contact Information</w:t>
            </w:r>
          </w:p>
        </w:tc>
        <w:tc>
          <w:tcPr>
            <w:tcW w:w="6390" w:type="dxa"/>
          </w:tcPr>
          <w:p w:rsidR="00574196" w:rsidRPr="00E0303B" w:rsidRDefault="00574196" w:rsidP="00382035">
            <w:pPr>
              <w:rPr>
                <w:rFonts w:ascii="Times New Roman" w:hAnsi="Times New Roman" w:cs="Times New Roman"/>
              </w:rPr>
            </w:pPr>
            <w:r w:rsidRPr="00E0303B">
              <w:rPr>
                <w:rFonts w:ascii="Times New Roman" w:hAnsi="Times New Roman" w:cs="Times New Roman"/>
                <w:noProof/>
              </w:rPr>
              <w:t>Professor</w:t>
            </w:r>
          </w:p>
          <w:p w:rsidR="00574196" w:rsidRPr="00E0303B" w:rsidRDefault="00574196" w:rsidP="00382035">
            <w:pPr>
              <w:rPr>
                <w:rFonts w:ascii="Times New Roman" w:hAnsi="Times New Roman" w:cs="Times New Roman"/>
              </w:rPr>
            </w:pPr>
            <w:r w:rsidRPr="00E0303B">
              <w:rPr>
                <w:rFonts w:ascii="Times New Roman" w:hAnsi="Times New Roman" w:cs="Times New Roman"/>
                <w:noProof/>
              </w:rPr>
              <w:t>University of Colorado Denver</w:t>
            </w:r>
          </w:p>
          <w:p w:rsidR="00574196" w:rsidRPr="00E0303B" w:rsidRDefault="00574196" w:rsidP="00382035">
            <w:pPr>
              <w:rPr>
                <w:rFonts w:ascii="Times New Roman" w:hAnsi="Times New Roman" w:cs="Times New Roman"/>
              </w:rPr>
            </w:pPr>
            <w:r w:rsidRPr="00E0303B">
              <w:rPr>
                <w:rFonts w:ascii="Times New Roman" w:hAnsi="Times New Roman" w:cs="Times New Roman"/>
              </w:rPr>
              <w:t xml:space="preserve">Phone: </w:t>
            </w:r>
            <w:r w:rsidR="002F38EB" w:rsidRPr="00E0303B">
              <w:rPr>
                <w:rFonts w:ascii="Times New Roman" w:hAnsi="Times New Roman" w:cs="Times New Roman"/>
              </w:rPr>
              <w:t>(</w:t>
            </w:r>
            <w:r w:rsidRPr="00E0303B">
              <w:rPr>
                <w:rFonts w:ascii="Times New Roman" w:hAnsi="Times New Roman" w:cs="Times New Roman"/>
                <w:noProof/>
              </w:rPr>
              <w:t>303</w:t>
            </w:r>
            <w:r w:rsidR="002F38EB" w:rsidRPr="00E0303B">
              <w:rPr>
                <w:rFonts w:ascii="Times New Roman" w:hAnsi="Times New Roman" w:cs="Times New Roman"/>
                <w:noProof/>
              </w:rPr>
              <w:t xml:space="preserve">) </w:t>
            </w:r>
            <w:r w:rsidRPr="00E0303B">
              <w:rPr>
                <w:rFonts w:ascii="Times New Roman" w:hAnsi="Times New Roman" w:cs="Times New Roman"/>
                <w:noProof/>
              </w:rPr>
              <w:t>352-3653</w:t>
            </w:r>
          </w:p>
          <w:p w:rsidR="00574196" w:rsidRPr="00E0303B" w:rsidRDefault="00574196" w:rsidP="00382035">
            <w:pPr>
              <w:rPr>
                <w:rFonts w:ascii="Times New Roman" w:hAnsi="Times New Roman" w:cs="Times New Roman"/>
              </w:rPr>
            </w:pPr>
            <w:r w:rsidRPr="00E0303B">
              <w:rPr>
                <w:rFonts w:ascii="Times New Roman" w:hAnsi="Times New Roman" w:cs="Times New Roman"/>
              </w:rPr>
              <w:t xml:space="preserve">Email: </w:t>
            </w:r>
            <w:r w:rsidRPr="00E0303B">
              <w:rPr>
                <w:rFonts w:ascii="Times New Roman" w:hAnsi="Times New Roman" w:cs="Times New Roman"/>
                <w:noProof/>
              </w:rPr>
              <w:t>jimmy.kim@ucdenver.edu</w:t>
            </w:r>
          </w:p>
          <w:p w:rsidR="00574196" w:rsidRPr="00E0303B" w:rsidRDefault="00574196" w:rsidP="00382035">
            <w:pPr>
              <w:rPr>
                <w:rFonts w:ascii="Times New Roman" w:hAnsi="Times New Roman" w:cs="Times New Roman"/>
              </w:rPr>
            </w:pPr>
            <w:r w:rsidRPr="00E0303B">
              <w:rPr>
                <w:rFonts w:ascii="Times New Roman" w:hAnsi="Times New Roman" w:cs="Times New Roman"/>
              </w:rPr>
              <w:t xml:space="preserve">ORCID: </w:t>
            </w:r>
            <w:r w:rsidRPr="00E0303B">
              <w:rPr>
                <w:rFonts w:ascii="Times New Roman" w:hAnsi="Times New Roman" w:cs="Times New Roman"/>
                <w:noProof/>
              </w:rPr>
              <w:t>0000-0002-4286-1461</w:t>
            </w:r>
          </w:p>
        </w:tc>
      </w:tr>
      <w:tr w:rsidR="00574196" w:rsidRPr="00E0303B" w:rsidTr="007247F1">
        <w:trPr>
          <w:jc w:val="center"/>
        </w:trPr>
        <w:tc>
          <w:tcPr>
            <w:tcW w:w="3685" w:type="dxa"/>
          </w:tcPr>
          <w:p w:rsidR="00574196" w:rsidRPr="00E0303B" w:rsidRDefault="00574196" w:rsidP="00947EC7">
            <w:pPr>
              <w:rPr>
                <w:rFonts w:ascii="Times New Roman" w:hAnsi="Times New Roman" w:cs="Times New Roman"/>
              </w:rPr>
            </w:pPr>
            <w:r w:rsidRPr="00E0303B">
              <w:rPr>
                <w:rFonts w:ascii="Times New Roman" w:hAnsi="Times New Roman" w:cs="Times New Roman"/>
              </w:rPr>
              <w:t>Funding Source(s) and Amounts Provided (by each agency or organization)</w:t>
            </w:r>
          </w:p>
        </w:tc>
        <w:tc>
          <w:tcPr>
            <w:tcW w:w="6390" w:type="dxa"/>
          </w:tcPr>
          <w:p w:rsidR="00574196" w:rsidRPr="00E0303B" w:rsidRDefault="00574196">
            <w:pPr>
              <w:rPr>
                <w:rFonts w:ascii="Times New Roman" w:hAnsi="Times New Roman" w:cs="Times New Roman"/>
              </w:rPr>
            </w:pPr>
            <w:r w:rsidRPr="00E0303B">
              <w:rPr>
                <w:rFonts w:ascii="Times New Roman" w:hAnsi="Times New Roman" w:cs="Times New Roman"/>
                <w:noProof/>
              </w:rPr>
              <w:t>USDOT, Research and Innovative Technology Administration</w:t>
            </w:r>
          </w:p>
          <w:p w:rsidR="00574196" w:rsidRPr="00E0303B" w:rsidRDefault="00574196">
            <w:pPr>
              <w:rPr>
                <w:rFonts w:ascii="Times New Roman" w:hAnsi="Times New Roman" w:cs="Times New Roman"/>
              </w:rPr>
            </w:pPr>
            <w:r w:rsidRPr="00E0303B">
              <w:rPr>
                <w:rFonts w:ascii="Times New Roman" w:eastAsia="Times New Roman" w:hAnsi="Times New Roman" w:cs="Times New Roman"/>
                <w:noProof/>
                <w:color w:val="000000"/>
              </w:rPr>
              <w:t>$40,000</w:t>
            </w:r>
          </w:p>
          <w:p w:rsidR="00574196" w:rsidRPr="00E0303B" w:rsidRDefault="00574196">
            <w:pPr>
              <w:rPr>
                <w:rFonts w:ascii="Times New Roman" w:hAnsi="Times New Roman" w:cs="Times New Roman"/>
              </w:rPr>
            </w:pPr>
          </w:p>
          <w:p w:rsidR="00574196" w:rsidRPr="00E0303B" w:rsidRDefault="00574196">
            <w:pPr>
              <w:rPr>
                <w:rFonts w:ascii="Times New Roman" w:hAnsi="Times New Roman" w:cs="Times New Roman"/>
              </w:rPr>
            </w:pPr>
            <w:r w:rsidRPr="00E0303B">
              <w:rPr>
                <w:rFonts w:ascii="Times New Roman" w:hAnsi="Times New Roman" w:cs="Times New Roman"/>
                <w:noProof/>
              </w:rPr>
              <w:t>faculty time and external scholarship/support for students</w:t>
            </w:r>
          </w:p>
          <w:p w:rsidR="00574196" w:rsidRPr="00E0303B" w:rsidRDefault="00574196">
            <w:pPr>
              <w:rPr>
                <w:rFonts w:ascii="Times New Roman" w:hAnsi="Times New Roman" w:cs="Times New Roman"/>
              </w:rPr>
            </w:pPr>
            <w:r w:rsidRPr="00E0303B">
              <w:rPr>
                <w:rFonts w:ascii="Times New Roman" w:eastAsia="Times New Roman" w:hAnsi="Times New Roman" w:cs="Times New Roman"/>
                <w:noProof/>
                <w:color w:val="000000"/>
              </w:rPr>
              <w:t>$40,000</w:t>
            </w:r>
          </w:p>
        </w:tc>
      </w:tr>
      <w:tr w:rsidR="00574196" w:rsidRPr="00E0303B" w:rsidTr="007247F1">
        <w:trPr>
          <w:jc w:val="center"/>
        </w:trPr>
        <w:tc>
          <w:tcPr>
            <w:tcW w:w="3685" w:type="dxa"/>
          </w:tcPr>
          <w:p w:rsidR="00574196" w:rsidRPr="00E0303B" w:rsidRDefault="00574196" w:rsidP="00947EC7">
            <w:pPr>
              <w:rPr>
                <w:rFonts w:ascii="Times New Roman" w:hAnsi="Times New Roman" w:cs="Times New Roman"/>
              </w:rPr>
            </w:pPr>
            <w:r w:rsidRPr="00E0303B">
              <w:rPr>
                <w:rFonts w:ascii="Times New Roman" w:hAnsi="Times New Roman" w:cs="Times New Roman"/>
              </w:rPr>
              <w:t>Total Project Cost</w:t>
            </w:r>
          </w:p>
        </w:tc>
        <w:tc>
          <w:tcPr>
            <w:tcW w:w="6390" w:type="dxa"/>
          </w:tcPr>
          <w:p w:rsidR="00574196" w:rsidRPr="00E0303B" w:rsidRDefault="00574196">
            <w:pPr>
              <w:rPr>
                <w:rFonts w:ascii="Times New Roman" w:hAnsi="Times New Roman" w:cs="Times New Roman"/>
              </w:rPr>
            </w:pPr>
            <w:r w:rsidRPr="00E0303B">
              <w:rPr>
                <w:rFonts w:ascii="Times New Roman" w:eastAsia="Times New Roman" w:hAnsi="Times New Roman" w:cs="Times New Roman"/>
                <w:noProof/>
                <w:color w:val="000000"/>
              </w:rPr>
              <w:t>$80,000</w:t>
            </w:r>
          </w:p>
        </w:tc>
      </w:tr>
      <w:tr w:rsidR="00574196" w:rsidRPr="00E0303B" w:rsidTr="007247F1">
        <w:trPr>
          <w:jc w:val="center"/>
        </w:trPr>
        <w:tc>
          <w:tcPr>
            <w:tcW w:w="3685" w:type="dxa"/>
          </w:tcPr>
          <w:p w:rsidR="00574196" w:rsidRPr="00E0303B" w:rsidRDefault="00574196" w:rsidP="00947EC7">
            <w:pPr>
              <w:rPr>
                <w:rFonts w:ascii="Times New Roman" w:hAnsi="Times New Roman" w:cs="Times New Roman"/>
              </w:rPr>
            </w:pPr>
            <w:r w:rsidRPr="00E0303B">
              <w:rPr>
                <w:rFonts w:ascii="Times New Roman" w:hAnsi="Times New Roman" w:cs="Times New Roman"/>
              </w:rPr>
              <w:t>Agency ID or Contract Number</w:t>
            </w:r>
          </w:p>
        </w:tc>
        <w:tc>
          <w:tcPr>
            <w:tcW w:w="6390" w:type="dxa"/>
          </w:tcPr>
          <w:p w:rsidR="00574196" w:rsidRPr="00E0303B" w:rsidRDefault="00574196">
            <w:pPr>
              <w:rPr>
                <w:rFonts w:ascii="Times New Roman" w:hAnsi="Times New Roman" w:cs="Times New Roman"/>
              </w:rPr>
            </w:pPr>
            <w:r w:rsidRPr="00E0303B">
              <w:rPr>
                <w:rFonts w:ascii="Times New Roman" w:hAnsi="Times New Roman" w:cs="Times New Roman"/>
                <w:noProof/>
              </w:rPr>
              <w:t>69A3551747108</w:t>
            </w:r>
          </w:p>
        </w:tc>
      </w:tr>
      <w:tr w:rsidR="00574196" w:rsidRPr="00E0303B" w:rsidTr="007247F1">
        <w:trPr>
          <w:jc w:val="center"/>
        </w:trPr>
        <w:tc>
          <w:tcPr>
            <w:tcW w:w="3685" w:type="dxa"/>
          </w:tcPr>
          <w:p w:rsidR="00574196" w:rsidRPr="00E0303B" w:rsidRDefault="00574196" w:rsidP="00947EC7">
            <w:pPr>
              <w:rPr>
                <w:rFonts w:ascii="Times New Roman" w:hAnsi="Times New Roman" w:cs="Times New Roman"/>
              </w:rPr>
            </w:pPr>
            <w:r w:rsidRPr="00E0303B">
              <w:rPr>
                <w:rFonts w:ascii="Times New Roman" w:hAnsi="Times New Roman" w:cs="Times New Roman"/>
              </w:rPr>
              <w:t>Start and End Dates</w:t>
            </w:r>
          </w:p>
        </w:tc>
        <w:tc>
          <w:tcPr>
            <w:tcW w:w="6390" w:type="dxa"/>
          </w:tcPr>
          <w:p w:rsidR="00574196" w:rsidRPr="00E0303B" w:rsidRDefault="00574196">
            <w:pPr>
              <w:rPr>
                <w:rFonts w:ascii="Times New Roman" w:hAnsi="Times New Roman" w:cs="Times New Roman"/>
                <w:highlight w:val="yellow"/>
              </w:rPr>
            </w:pPr>
            <w:r w:rsidRPr="00E0303B">
              <w:rPr>
                <w:rFonts w:ascii="Times New Roman" w:hAnsi="Times New Roman" w:cs="Times New Roman"/>
                <w:noProof/>
              </w:rPr>
              <w:t>December 11, 2017 to July 31, 2022</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Brief Description of Research Project</w:t>
            </w:r>
          </w:p>
        </w:tc>
        <w:tc>
          <w:tcPr>
            <w:tcW w:w="6390" w:type="dxa"/>
          </w:tcPr>
          <w:p w:rsidR="00574196" w:rsidRPr="00E0303B" w:rsidRDefault="0044251B" w:rsidP="00F1155E">
            <w:pPr>
              <w:rPr>
                <w:rFonts w:ascii="Times New Roman" w:hAnsi="Times New Roman" w:cs="Times New Roman"/>
                <w:noProof/>
              </w:rPr>
            </w:pPr>
            <w:r w:rsidRPr="00E0303B">
              <w:rPr>
                <w:rFonts w:ascii="Times New Roman" w:hAnsi="Times New Roman" w:cs="Times New Roman"/>
                <w:noProof/>
              </w:rPr>
              <w:t>The concise literature review indicates that the integrity of the composite-substrate interface (specifically, CFRP-concrete interface) is a critical component controlling the performance of repair/strengthening systems. Although the several proposed approaches appear to</w:t>
            </w:r>
            <w:bookmarkStart w:id="0" w:name="_GoBack"/>
            <w:bookmarkEnd w:id="0"/>
            <w:r w:rsidRPr="00E0303B">
              <w:rPr>
                <w:rFonts w:ascii="Times New Roman" w:hAnsi="Times New Roman" w:cs="Times New Roman"/>
                <w:noProof/>
              </w:rPr>
              <w:t xml:space="preserve"> be applicable, there still is a dearth of research to fundamentally reframe the interfacial characteristics of CFRP composites bonded to a concrete substrate, so that the occurrence of premature debonding can be alleviated. This research explores a novel bonding scheme by creating grooves along the substrate and filled by an epoxy adhesive, which are expected to reduce interfacial shear stresses between the CFRP and concrete. The feasibility of the proposed idea will be experimentally verified and its performance will be comparatively assessed against existing debonding mitigation methods. A theoretical study will be conducted to complement experimental findings, including reliability-based modeling, fuzzy logic, and statistical characterization.</w:t>
            </w:r>
          </w:p>
        </w:tc>
      </w:tr>
      <w:tr w:rsidR="00574196" w:rsidRPr="00E0303B" w:rsidTr="00774887">
        <w:trPr>
          <w:trHeight w:val="800"/>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Describe Implementation of Research Outcomes (or why not implemented)</w:t>
            </w:r>
          </w:p>
          <w:p w:rsidR="00574196" w:rsidRPr="00E0303B" w:rsidRDefault="00574196">
            <w:pPr>
              <w:rPr>
                <w:rFonts w:ascii="Times New Roman" w:hAnsi="Times New Roman" w:cs="Times New Roman"/>
              </w:rPr>
            </w:pPr>
          </w:p>
          <w:p w:rsidR="00574196" w:rsidRPr="00E0303B" w:rsidRDefault="00574196">
            <w:pPr>
              <w:rPr>
                <w:rFonts w:ascii="Times New Roman" w:hAnsi="Times New Roman" w:cs="Times New Roman"/>
              </w:rPr>
            </w:pPr>
            <w:r w:rsidRPr="00E0303B">
              <w:rPr>
                <w:rFonts w:ascii="Times New Roman" w:hAnsi="Times New Roman" w:cs="Times New Roman"/>
              </w:rPr>
              <w:t>Place Any Photos Here</w:t>
            </w:r>
          </w:p>
        </w:tc>
        <w:tc>
          <w:tcPr>
            <w:tcW w:w="6390" w:type="dxa"/>
          </w:tcPr>
          <w:p w:rsidR="00574196" w:rsidRPr="00E0303B" w:rsidRDefault="00E0303B" w:rsidP="00832B74">
            <w:pPr>
              <w:jc w:val="both"/>
              <w:rPr>
                <w:rFonts w:ascii="Times New Roman" w:hAnsi="Times New Roman" w:cs="Times New Roman"/>
              </w:rPr>
            </w:pPr>
            <w:r w:rsidRPr="00E0303B">
              <w:rPr>
                <w:rFonts w:ascii="Times New Roman" w:hAnsi="Times New Roman" w:cs="Times New Roman"/>
              </w:rPr>
              <w:t xml:space="preserve">The proposed concept </w:t>
            </w:r>
            <w:proofErr w:type="gramStart"/>
            <w:r w:rsidRPr="00E0303B">
              <w:rPr>
                <w:rFonts w:ascii="Times New Roman" w:hAnsi="Times New Roman" w:cs="Times New Roman"/>
              </w:rPr>
              <w:t>can readily be implemented</w:t>
            </w:r>
            <w:proofErr w:type="gramEnd"/>
            <w:r w:rsidRPr="00E0303B">
              <w:rPr>
                <w:rFonts w:ascii="Times New Roman" w:hAnsi="Times New Roman" w:cs="Times New Roman"/>
              </w:rPr>
              <w:t xml:space="preserve">. Upon technology transfer, it </w:t>
            </w:r>
            <w:proofErr w:type="gramStart"/>
            <w:r w:rsidRPr="00E0303B">
              <w:rPr>
                <w:rFonts w:ascii="Times New Roman" w:hAnsi="Times New Roman" w:cs="Times New Roman"/>
              </w:rPr>
              <w:t>is expected</w:t>
            </w:r>
            <w:proofErr w:type="gramEnd"/>
            <w:r w:rsidRPr="00E0303B">
              <w:rPr>
                <w:rFonts w:ascii="Times New Roman" w:hAnsi="Times New Roman" w:cs="Times New Roman"/>
              </w:rPr>
              <w:t xml:space="preserve"> that the </w:t>
            </w:r>
            <w:proofErr w:type="spellStart"/>
            <w:r w:rsidRPr="00E0303B">
              <w:rPr>
                <w:rFonts w:ascii="Times New Roman" w:hAnsi="Times New Roman" w:cs="Times New Roman"/>
              </w:rPr>
              <w:t>debonding</w:t>
            </w:r>
            <w:proofErr w:type="spellEnd"/>
            <w:r w:rsidRPr="00E0303B">
              <w:rPr>
                <w:rFonts w:ascii="Times New Roman" w:hAnsi="Times New Roman" w:cs="Times New Roman"/>
              </w:rPr>
              <w:t>-mitigation techniques be adopted in practice.</w:t>
            </w:r>
          </w:p>
        </w:tc>
      </w:tr>
      <w:tr w:rsidR="00574196" w:rsidRPr="00E0303B" w:rsidTr="00774887">
        <w:trPr>
          <w:trHeight w:val="458"/>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Impacts/Benefits of Implementation</w:t>
            </w:r>
          </w:p>
          <w:p w:rsidR="00574196" w:rsidRPr="00E0303B" w:rsidRDefault="00574196">
            <w:pPr>
              <w:rPr>
                <w:rFonts w:ascii="Times New Roman" w:hAnsi="Times New Roman" w:cs="Times New Roman"/>
              </w:rPr>
            </w:pPr>
            <w:r w:rsidRPr="00E0303B">
              <w:rPr>
                <w:rFonts w:ascii="Times New Roman" w:hAnsi="Times New Roman" w:cs="Times New Roman"/>
              </w:rPr>
              <w:t>(actual, not anticipated)</w:t>
            </w:r>
          </w:p>
        </w:tc>
        <w:tc>
          <w:tcPr>
            <w:tcW w:w="6390" w:type="dxa"/>
          </w:tcPr>
          <w:p w:rsidR="00574196" w:rsidRPr="00E0303B" w:rsidRDefault="00E0303B" w:rsidP="00465817">
            <w:pPr>
              <w:rPr>
                <w:rFonts w:ascii="Times New Roman" w:hAnsi="Times New Roman" w:cs="Times New Roman"/>
              </w:rPr>
            </w:pPr>
            <w:r w:rsidRPr="00E0303B">
              <w:rPr>
                <w:rFonts w:ascii="Times New Roman" w:hAnsi="Times New Roman" w:cs="Times New Roman"/>
              </w:rPr>
              <w:t>The proposed anchor system with grooved bonding schemes will save repair/strengthening costs at extended longevity since no metallic anchorage (corrosive) is necessary.</w:t>
            </w:r>
          </w:p>
        </w:tc>
      </w:tr>
      <w:tr w:rsidR="00574196" w:rsidRPr="00E0303B" w:rsidTr="007247F1">
        <w:trPr>
          <w:jc w:val="center"/>
        </w:trPr>
        <w:tc>
          <w:tcPr>
            <w:tcW w:w="3685" w:type="dxa"/>
          </w:tcPr>
          <w:p w:rsidR="00574196" w:rsidRPr="00E0303B" w:rsidRDefault="00574196">
            <w:pPr>
              <w:rPr>
                <w:rFonts w:ascii="Times New Roman" w:hAnsi="Times New Roman" w:cs="Times New Roman"/>
              </w:rPr>
            </w:pPr>
            <w:r w:rsidRPr="00E0303B">
              <w:rPr>
                <w:rFonts w:ascii="Times New Roman" w:hAnsi="Times New Roman" w:cs="Times New Roman"/>
              </w:rPr>
              <w:t>Web Links</w:t>
            </w:r>
          </w:p>
          <w:p w:rsidR="00574196" w:rsidRPr="00E0303B" w:rsidRDefault="00574196" w:rsidP="005739F2">
            <w:pPr>
              <w:pStyle w:val="ListParagraph"/>
              <w:numPr>
                <w:ilvl w:val="0"/>
                <w:numId w:val="2"/>
              </w:numPr>
              <w:rPr>
                <w:rFonts w:ascii="Times New Roman" w:hAnsi="Times New Roman" w:cs="Times New Roman"/>
              </w:rPr>
            </w:pPr>
            <w:r w:rsidRPr="00E0303B">
              <w:rPr>
                <w:rFonts w:ascii="Times New Roman" w:hAnsi="Times New Roman" w:cs="Times New Roman"/>
              </w:rPr>
              <w:t>Reports</w:t>
            </w:r>
          </w:p>
          <w:p w:rsidR="00574196" w:rsidRPr="00E0303B" w:rsidRDefault="00574196" w:rsidP="004519D5">
            <w:pPr>
              <w:pStyle w:val="ListParagraph"/>
              <w:numPr>
                <w:ilvl w:val="0"/>
                <w:numId w:val="2"/>
              </w:numPr>
              <w:rPr>
                <w:rFonts w:ascii="Times New Roman" w:hAnsi="Times New Roman" w:cs="Times New Roman"/>
              </w:rPr>
            </w:pPr>
            <w:r w:rsidRPr="00E0303B">
              <w:rPr>
                <w:rFonts w:ascii="Times New Roman" w:hAnsi="Times New Roman" w:cs="Times New Roman"/>
              </w:rPr>
              <w:lastRenderedPageBreak/>
              <w:t>Project Website</w:t>
            </w:r>
          </w:p>
        </w:tc>
        <w:tc>
          <w:tcPr>
            <w:tcW w:w="6390" w:type="dxa"/>
          </w:tcPr>
          <w:p w:rsidR="00574196" w:rsidRPr="00E0303B" w:rsidRDefault="00E0303B">
            <w:pPr>
              <w:rPr>
                <w:rFonts w:ascii="Times New Roman" w:hAnsi="Times New Roman" w:cs="Times New Roman"/>
              </w:rPr>
            </w:pPr>
            <w:r w:rsidRPr="00E0303B">
              <w:rPr>
                <w:rFonts w:ascii="Times New Roman" w:hAnsi="Times New Roman" w:cs="Times New Roman"/>
              </w:rPr>
              <w:lastRenderedPageBreak/>
              <w:t>https://www.ugpti.org/resources/reports/details.php?id=969</w:t>
            </w:r>
          </w:p>
        </w:tc>
      </w:tr>
    </w:tbl>
    <w:p w:rsidR="00574196" w:rsidRPr="00E0303B" w:rsidRDefault="00574196">
      <w:pPr>
        <w:rPr>
          <w:rFonts w:ascii="Times New Roman" w:hAnsi="Times New Roman" w:cs="Times New Roman"/>
        </w:rPr>
      </w:pPr>
    </w:p>
    <w:sectPr w:rsidR="00574196" w:rsidRPr="00E0303B"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A6711"/>
    <w:rsid w:val="000F25D1"/>
    <w:rsid w:val="000F3EED"/>
    <w:rsid w:val="0011794E"/>
    <w:rsid w:val="00144705"/>
    <w:rsid w:val="00156068"/>
    <w:rsid w:val="00167D11"/>
    <w:rsid w:val="0017516D"/>
    <w:rsid w:val="00194A73"/>
    <w:rsid w:val="001B74CD"/>
    <w:rsid w:val="001F2747"/>
    <w:rsid w:val="00200B97"/>
    <w:rsid w:val="002201AC"/>
    <w:rsid w:val="002241F0"/>
    <w:rsid w:val="002339C1"/>
    <w:rsid w:val="00265E1D"/>
    <w:rsid w:val="0028546B"/>
    <w:rsid w:val="002F38EB"/>
    <w:rsid w:val="002F44C5"/>
    <w:rsid w:val="002F6FE5"/>
    <w:rsid w:val="00345ECC"/>
    <w:rsid w:val="00357985"/>
    <w:rsid w:val="003771C8"/>
    <w:rsid w:val="0037769A"/>
    <w:rsid w:val="00382035"/>
    <w:rsid w:val="003A1F97"/>
    <w:rsid w:val="003E378B"/>
    <w:rsid w:val="003F4CA3"/>
    <w:rsid w:val="00400D46"/>
    <w:rsid w:val="004139FC"/>
    <w:rsid w:val="0041641D"/>
    <w:rsid w:val="0042016D"/>
    <w:rsid w:val="004222E3"/>
    <w:rsid w:val="0043128E"/>
    <w:rsid w:val="0044251B"/>
    <w:rsid w:val="004519D5"/>
    <w:rsid w:val="00461EFB"/>
    <w:rsid w:val="00465817"/>
    <w:rsid w:val="004801CC"/>
    <w:rsid w:val="00481D12"/>
    <w:rsid w:val="004B070F"/>
    <w:rsid w:val="004B684F"/>
    <w:rsid w:val="004B7858"/>
    <w:rsid w:val="004D13A5"/>
    <w:rsid w:val="004E2473"/>
    <w:rsid w:val="005037E6"/>
    <w:rsid w:val="005103AC"/>
    <w:rsid w:val="00520CCC"/>
    <w:rsid w:val="00522A6B"/>
    <w:rsid w:val="005342E3"/>
    <w:rsid w:val="005418BF"/>
    <w:rsid w:val="005739F2"/>
    <w:rsid w:val="00574196"/>
    <w:rsid w:val="00591E92"/>
    <w:rsid w:val="005A34A9"/>
    <w:rsid w:val="005D64F4"/>
    <w:rsid w:val="005E1A27"/>
    <w:rsid w:val="005F0F96"/>
    <w:rsid w:val="00626C8E"/>
    <w:rsid w:val="00636265"/>
    <w:rsid w:val="00644861"/>
    <w:rsid w:val="006740CA"/>
    <w:rsid w:val="006770E3"/>
    <w:rsid w:val="006B398F"/>
    <w:rsid w:val="006C5A77"/>
    <w:rsid w:val="007247F1"/>
    <w:rsid w:val="007364B2"/>
    <w:rsid w:val="0073654F"/>
    <w:rsid w:val="007700A5"/>
    <w:rsid w:val="00774887"/>
    <w:rsid w:val="00784934"/>
    <w:rsid w:val="00784948"/>
    <w:rsid w:val="007904EF"/>
    <w:rsid w:val="007A0C7D"/>
    <w:rsid w:val="007A0F34"/>
    <w:rsid w:val="007C24D2"/>
    <w:rsid w:val="007C5540"/>
    <w:rsid w:val="007C6A8C"/>
    <w:rsid w:val="007F1224"/>
    <w:rsid w:val="00820860"/>
    <w:rsid w:val="00832B74"/>
    <w:rsid w:val="00834DD0"/>
    <w:rsid w:val="0085153B"/>
    <w:rsid w:val="0085296A"/>
    <w:rsid w:val="00863038"/>
    <w:rsid w:val="00890623"/>
    <w:rsid w:val="008C4D3A"/>
    <w:rsid w:val="00947EC7"/>
    <w:rsid w:val="00960AD7"/>
    <w:rsid w:val="00965963"/>
    <w:rsid w:val="0098520A"/>
    <w:rsid w:val="00991DD0"/>
    <w:rsid w:val="009A2A86"/>
    <w:rsid w:val="009B6455"/>
    <w:rsid w:val="009D1318"/>
    <w:rsid w:val="009D71A7"/>
    <w:rsid w:val="00A1029D"/>
    <w:rsid w:val="00A326E7"/>
    <w:rsid w:val="00A40D9F"/>
    <w:rsid w:val="00A47880"/>
    <w:rsid w:val="00A61B30"/>
    <w:rsid w:val="00AB37E5"/>
    <w:rsid w:val="00AB4E1A"/>
    <w:rsid w:val="00AD1BD6"/>
    <w:rsid w:val="00AD6E8F"/>
    <w:rsid w:val="00AE2AF2"/>
    <w:rsid w:val="00AE5B09"/>
    <w:rsid w:val="00B01048"/>
    <w:rsid w:val="00B260A1"/>
    <w:rsid w:val="00B56CF1"/>
    <w:rsid w:val="00B63F87"/>
    <w:rsid w:val="00B65EB3"/>
    <w:rsid w:val="00B95278"/>
    <w:rsid w:val="00BC678B"/>
    <w:rsid w:val="00BD2E5F"/>
    <w:rsid w:val="00BD7D3D"/>
    <w:rsid w:val="00BF275C"/>
    <w:rsid w:val="00C05C39"/>
    <w:rsid w:val="00C7764F"/>
    <w:rsid w:val="00C86AC4"/>
    <w:rsid w:val="00C93D8B"/>
    <w:rsid w:val="00CE1984"/>
    <w:rsid w:val="00CF3C6A"/>
    <w:rsid w:val="00D35F1D"/>
    <w:rsid w:val="00D50207"/>
    <w:rsid w:val="00D76096"/>
    <w:rsid w:val="00DA713E"/>
    <w:rsid w:val="00DB4ECC"/>
    <w:rsid w:val="00DB767A"/>
    <w:rsid w:val="00DE700B"/>
    <w:rsid w:val="00DF3B4C"/>
    <w:rsid w:val="00E0303B"/>
    <w:rsid w:val="00E2770B"/>
    <w:rsid w:val="00E52614"/>
    <w:rsid w:val="00E90782"/>
    <w:rsid w:val="00E90A52"/>
    <w:rsid w:val="00EB69C5"/>
    <w:rsid w:val="00EE529C"/>
    <w:rsid w:val="00F04DF2"/>
    <w:rsid w:val="00F1155E"/>
    <w:rsid w:val="00F25513"/>
    <w:rsid w:val="00F32AAD"/>
    <w:rsid w:val="00F33865"/>
    <w:rsid w:val="00F45EA0"/>
    <w:rsid w:val="00F47476"/>
    <w:rsid w:val="00F50059"/>
    <w:rsid w:val="00F54229"/>
    <w:rsid w:val="00F6271A"/>
    <w:rsid w:val="00F80C7F"/>
    <w:rsid w:val="00F96D62"/>
    <w:rsid w:val="00FD5E85"/>
    <w:rsid w:val="00FE7A94"/>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29A6-0D19-4399-AA63-CBCF6DC6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UTC Project Information | Alternative in-situ Water-Cement Meter Using a Parallel-Plate Capacitor Concept</vt:lpstr>
    </vt:vector>
  </TitlesOfParts>
  <Company>DOT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Composite-based Rehabilitation of Constructed Bridge Girders with Grooved Geometrics</dc:title>
  <dc:creator>megan.c.bohn</dc:creator>
  <cp:lastModifiedBy>Nichols, Patrick</cp:lastModifiedBy>
  <cp:revision>13</cp:revision>
  <cp:lastPrinted>2018-01-02T18:01:00Z</cp:lastPrinted>
  <dcterms:created xsi:type="dcterms:W3CDTF">2018-01-02T16:10:00Z</dcterms:created>
  <dcterms:modified xsi:type="dcterms:W3CDTF">2019-10-28T18:52:00Z</dcterms:modified>
</cp:coreProperties>
</file>