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574196" w:rsidRPr="004B070F" w:rsidTr="007247F1">
        <w:trPr>
          <w:jc w:val="center"/>
        </w:trPr>
        <w:tc>
          <w:tcPr>
            <w:tcW w:w="10075" w:type="dxa"/>
            <w:gridSpan w:val="2"/>
          </w:tcPr>
          <w:p w:rsidR="00574196" w:rsidRPr="004B070F" w:rsidRDefault="00574196">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Project Title</w:t>
            </w:r>
          </w:p>
        </w:tc>
        <w:tc>
          <w:tcPr>
            <w:tcW w:w="6390" w:type="dxa"/>
          </w:tcPr>
          <w:p w:rsidR="00574196" w:rsidRPr="004B7858" w:rsidRDefault="00574196" w:rsidP="004B7858">
            <w:pPr>
              <w:jc w:val="both"/>
              <w:rPr>
                <w:rFonts w:ascii="Times New Roman" w:hAnsi="Times New Roman" w:cs="Times New Roman"/>
                <w:szCs w:val="24"/>
              </w:rPr>
            </w:pPr>
            <w:r w:rsidRPr="00A022A0">
              <w:rPr>
                <w:rFonts w:ascii="Times New Roman" w:hAnsi="Times New Roman" w:cs="Times New Roman"/>
                <w:noProof/>
                <w:szCs w:val="24"/>
              </w:rPr>
              <w:t>MPC-557</w:t>
            </w:r>
            <w:r>
              <w:rPr>
                <w:rFonts w:ascii="Times New Roman" w:hAnsi="Times New Roman" w:cs="Times New Roman"/>
                <w:szCs w:val="24"/>
              </w:rPr>
              <w:t xml:space="preserve"> – </w:t>
            </w:r>
            <w:r w:rsidRPr="00A022A0">
              <w:rPr>
                <w:rFonts w:ascii="Times New Roman" w:hAnsi="Times New Roman" w:cs="Times New Roman"/>
                <w:noProof/>
                <w:szCs w:val="24"/>
              </w:rPr>
              <w:t>Reassessing Child Pedestrian Mode Choice &amp; Safety via Perceived Parental Risk</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University</w:t>
            </w:r>
          </w:p>
        </w:tc>
        <w:tc>
          <w:tcPr>
            <w:tcW w:w="6390" w:type="dxa"/>
          </w:tcPr>
          <w:p w:rsidR="00574196" w:rsidRPr="004B7858" w:rsidRDefault="00574196" w:rsidP="004B7858">
            <w:pPr>
              <w:jc w:val="both"/>
              <w:rPr>
                <w:rFonts w:ascii="Times New Roman" w:eastAsia="Calibri" w:hAnsi="Times New Roman" w:cs="Times New Roman"/>
                <w:szCs w:val="24"/>
              </w:rPr>
            </w:pPr>
            <w:r w:rsidRPr="00A022A0">
              <w:rPr>
                <w:rFonts w:ascii="Times New Roman" w:eastAsia="Calibri" w:hAnsi="Times New Roman" w:cs="Times New Roman"/>
                <w:noProof/>
                <w:szCs w:val="24"/>
              </w:rPr>
              <w:t>University of Colorado Denver</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Principal Investigator</w:t>
            </w:r>
          </w:p>
        </w:tc>
        <w:tc>
          <w:tcPr>
            <w:tcW w:w="6390" w:type="dxa"/>
          </w:tcPr>
          <w:p w:rsidR="00574196" w:rsidRPr="007247F1" w:rsidRDefault="00574196" w:rsidP="007247F1">
            <w:pPr>
              <w:autoSpaceDE w:val="0"/>
              <w:autoSpaceDN w:val="0"/>
              <w:adjustRightInd w:val="0"/>
              <w:rPr>
                <w:rFonts w:ascii="Times New Roman" w:eastAsia="Times New Roman" w:hAnsi="Times New Roman" w:cs="Times New Roman"/>
                <w:noProof/>
                <w:color w:val="000000"/>
                <w:szCs w:val="24"/>
              </w:rPr>
            </w:pPr>
            <w:r w:rsidRPr="00A022A0">
              <w:rPr>
                <w:rFonts w:ascii="Times New Roman" w:eastAsia="Times New Roman" w:hAnsi="Times New Roman" w:cs="Times New Roman"/>
                <w:noProof/>
                <w:color w:val="000000"/>
                <w:szCs w:val="24"/>
              </w:rPr>
              <w:t>Wesley Marshall</w:t>
            </w:r>
            <w:r>
              <w:rPr>
                <w:rFonts w:ascii="Times New Roman" w:eastAsia="Times New Roman" w:hAnsi="Times New Roman" w:cs="Times New Roman"/>
                <w:color w:val="000000"/>
                <w:szCs w:val="24"/>
              </w:rPr>
              <w:t xml:space="preserve"> </w:t>
            </w:r>
          </w:p>
          <w:p w:rsidR="00574196" w:rsidRPr="004B7858" w:rsidRDefault="00574196" w:rsidP="007247F1">
            <w:pPr>
              <w:autoSpaceDE w:val="0"/>
              <w:autoSpaceDN w:val="0"/>
              <w:adjustRightInd w:val="0"/>
              <w:rPr>
                <w:rFonts w:ascii="Times New Roman" w:eastAsia="Times New Roman" w:hAnsi="Times New Roman" w:cs="Times New Roman"/>
                <w:color w:val="000000"/>
                <w:szCs w:val="24"/>
              </w:rPr>
            </w:pPr>
            <w:r w:rsidRPr="00A022A0">
              <w:rPr>
                <w:rFonts w:ascii="Times New Roman" w:eastAsia="Times New Roman" w:hAnsi="Times New Roman" w:cs="Times New Roman"/>
                <w:noProof/>
                <w:color w:val="000000"/>
                <w:szCs w:val="24"/>
              </w:rPr>
              <w:t>Bruce Janson</w:t>
            </w:r>
            <w:r>
              <w:rPr>
                <w:rFonts w:ascii="Times New Roman" w:eastAsia="Times New Roman" w:hAnsi="Times New Roman" w:cs="Times New Roman"/>
                <w:color w:val="000000"/>
                <w:szCs w:val="24"/>
              </w:rPr>
              <w:t xml:space="preserve"> </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PI Contact Information</w:t>
            </w:r>
          </w:p>
        </w:tc>
        <w:tc>
          <w:tcPr>
            <w:tcW w:w="6390" w:type="dxa"/>
          </w:tcPr>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Wesley Marshall</w:t>
            </w:r>
          </w:p>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Associate Professor</w:t>
            </w:r>
          </w:p>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University of Colorado Denver</w:t>
            </w:r>
          </w:p>
          <w:p w:rsidR="00574196" w:rsidRDefault="00574196" w:rsidP="00382035">
            <w:pPr>
              <w:rPr>
                <w:rFonts w:ascii="Times New Roman" w:hAnsi="Times New Roman" w:cs="Times New Roman"/>
                <w:szCs w:val="24"/>
              </w:rPr>
            </w:pPr>
            <w:r>
              <w:rPr>
                <w:rFonts w:ascii="Times New Roman" w:hAnsi="Times New Roman" w:cs="Times New Roman"/>
                <w:szCs w:val="24"/>
              </w:rPr>
              <w:t xml:space="preserve">Phone: </w:t>
            </w:r>
            <w:r w:rsidR="00682375">
              <w:rPr>
                <w:rFonts w:ascii="Times New Roman" w:hAnsi="Times New Roman" w:cs="Times New Roman"/>
                <w:szCs w:val="24"/>
              </w:rPr>
              <w:t>(</w:t>
            </w:r>
            <w:r w:rsidRPr="00A022A0">
              <w:rPr>
                <w:rFonts w:ascii="Times New Roman" w:hAnsi="Times New Roman" w:cs="Times New Roman"/>
                <w:noProof/>
                <w:szCs w:val="24"/>
              </w:rPr>
              <w:t>303</w:t>
            </w:r>
            <w:r w:rsidR="00682375">
              <w:rPr>
                <w:rFonts w:ascii="Times New Roman" w:hAnsi="Times New Roman" w:cs="Times New Roman"/>
                <w:noProof/>
                <w:szCs w:val="24"/>
              </w:rPr>
              <w:t xml:space="preserve">) </w:t>
            </w:r>
            <w:r w:rsidRPr="00A022A0">
              <w:rPr>
                <w:rFonts w:ascii="Times New Roman" w:hAnsi="Times New Roman" w:cs="Times New Roman"/>
                <w:noProof/>
                <w:szCs w:val="24"/>
              </w:rPr>
              <w:t>352-3741</w:t>
            </w:r>
          </w:p>
          <w:p w:rsidR="00574196" w:rsidRDefault="00574196" w:rsidP="00382035">
            <w:pPr>
              <w:rPr>
                <w:rFonts w:ascii="Times New Roman" w:hAnsi="Times New Roman" w:cs="Times New Roman"/>
                <w:szCs w:val="24"/>
              </w:rPr>
            </w:pPr>
            <w:r>
              <w:rPr>
                <w:rFonts w:ascii="Times New Roman" w:hAnsi="Times New Roman" w:cs="Times New Roman"/>
                <w:szCs w:val="24"/>
              </w:rPr>
              <w:t xml:space="preserve">Email: </w:t>
            </w:r>
            <w:r w:rsidRPr="00A022A0">
              <w:rPr>
                <w:rFonts w:ascii="Times New Roman" w:hAnsi="Times New Roman" w:cs="Times New Roman"/>
                <w:noProof/>
                <w:szCs w:val="24"/>
              </w:rPr>
              <w:t>wesley.marshall@ucdenver.edu</w:t>
            </w:r>
          </w:p>
          <w:p w:rsidR="00574196" w:rsidRDefault="00574196" w:rsidP="00382035">
            <w:pPr>
              <w:rPr>
                <w:rFonts w:ascii="Times New Roman" w:hAnsi="Times New Roman" w:cs="Times New Roman"/>
                <w:szCs w:val="24"/>
              </w:rPr>
            </w:pPr>
            <w:r>
              <w:rPr>
                <w:rFonts w:ascii="Times New Roman" w:hAnsi="Times New Roman" w:cs="Times New Roman"/>
                <w:szCs w:val="24"/>
              </w:rPr>
              <w:t xml:space="preserve">ORCID: </w:t>
            </w:r>
            <w:r w:rsidRPr="00A022A0">
              <w:rPr>
                <w:rFonts w:ascii="Times New Roman" w:hAnsi="Times New Roman" w:cs="Times New Roman"/>
                <w:noProof/>
                <w:szCs w:val="24"/>
              </w:rPr>
              <w:t>0000-0002-3106-7342</w:t>
            </w:r>
          </w:p>
          <w:p w:rsidR="00574196" w:rsidRDefault="00574196" w:rsidP="00382035">
            <w:pPr>
              <w:rPr>
                <w:noProof/>
              </w:rPr>
            </w:pPr>
          </w:p>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Bruce Janson</w:t>
            </w:r>
          </w:p>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Professor</w:t>
            </w:r>
          </w:p>
          <w:p w:rsidR="00574196" w:rsidRPr="00C7764F" w:rsidRDefault="00574196" w:rsidP="00382035">
            <w:pPr>
              <w:rPr>
                <w:rFonts w:ascii="Times New Roman" w:hAnsi="Times New Roman" w:cs="Times New Roman"/>
                <w:szCs w:val="24"/>
              </w:rPr>
            </w:pPr>
            <w:r w:rsidRPr="00A022A0">
              <w:rPr>
                <w:rFonts w:ascii="Times New Roman" w:hAnsi="Times New Roman" w:cs="Times New Roman"/>
                <w:noProof/>
                <w:szCs w:val="24"/>
              </w:rPr>
              <w:t>University of Colorado Denver</w:t>
            </w:r>
          </w:p>
          <w:p w:rsidR="00574196" w:rsidRDefault="00574196" w:rsidP="00382035">
            <w:pPr>
              <w:rPr>
                <w:rFonts w:ascii="Times New Roman" w:hAnsi="Times New Roman" w:cs="Times New Roman"/>
                <w:szCs w:val="24"/>
              </w:rPr>
            </w:pPr>
            <w:r>
              <w:rPr>
                <w:noProof/>
              </w:rPr>
              <w:t xml:space="preserve">Phone: </w:t>
            </w:r>
            <w:r w:rsidR="00682375">
              <w:rPr>
                <w:noProof/>
              </w:rPr>
              <w:t>(</w:t>
            </w:r>
            <w:r w:rsidR="00682375">
              <w:rPr>
                <w:rFonts w:ascii="Times New Roman" w:hAnsi="Times New Roman" w:cs="Times New Roman"/>
                <w:noProof/>
                <w:szCs w:val="24"/>
              </w:rPr>
              <w:t xml:space="preserve">303) </w:t>
            </w:r>
            <w:r w:rsidRPr="00A022A0">
              <w:rPr>
                <w:rFonts w:ascii="Times New Roman" w:hAnsi="Times New Roman" w:cs="Times New Roman"/>
                <w:noProof/>
                <w:szCs w:val="24"/>
              </w:rPr>
              <w:t>556-2831</w:t>
            </w:r>
          </w:p>
          <w:p w:rsidR="00574196" w:rsidRDefault="00574196" w:rsidP="00382035">
            <w:pPr>
              <w:rPr>
                <w:rFonts w:ascii="Times New Roman" w:hAnsi="Times New Roman" w:cs="Times New Roman"/>
                <w:szCs w:val="24"/>
              </w:rPr>
            </w:pPr>
            <w:r>
              <w:rPr>
                <w:noProof/>
              </w:rPr>
              <w:t xml:space="preserve">Email: </w:t>
            </w:r>
            <w:r w:rsidRPr="00A022A0">
              <w:rPr>
                <w:rFonts w:ascii="Times New Roman" w:hAnsi="Times New Roman" w:cs="Times New Roman"/>
                <w:noProof/>
                <w:szCs w:val="24"/>
              </w:rPr>
              <w:t>bruce.janson@ucdenver.edu</w:t>
            </w:r>
          </w:p>
          <w:p w:rsidR="00574196" w:rsidRDefault="00574196" w:rsidP="00382035">
            <w:pPr>
              <w:rPr>
                <w:rFonts w:ascii="Times New Roman" w:hAnsi="Times New Roman" w:cs="Times New Roman"/>
                <w:szCs w:val="24"/>
              </w:rPr>
            </w:pPr>
            <w:r>
              <w:rPr>
                <w:noProof/>
              </w:rPr>
              <w:t>ORCID: 0000-0003-2901-8506</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574196" w:rsidRDefault="00574196">
            <w:pPr>
              <w:rPr>
                <w:rFonts w:ascii="Times New Roman" w:hAnsi="Times New Roman" w:cs="Times New Roman"/>
              </w:rPr>
            </w:pPr>
            <w:r w:rsidRPr="00A022A0">
              <w:rPr>
                <w:rFonts w:ascii="Times New Roman" w:hAnsi="Times New Roman" w:cs="Times New Roman"/>
                <w:noProof/>
              </w:rPr>
              <w:t>USDOT, Research and Innovative Technology Administration</w:t>
            </w:r>
          </w:p>
          <w:p w:rsidR="00574196" w:rsidRDefault="00574196">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88,940</w:t>
            </w:r>
          </w:p>
          <w:p w:rsidR="00574196" w:rsidRDefault="00574196">
            <w:pPr>
              <w:rPr>
                <w:rFonts w:ascii="Times New Roman" w:hAnsi="Times New Roman" w:cs="Times New Roman"/>
              </w:rPr>
            </w:pPr>
          </w:p>
          <w:p w:rsidR="00574196" w:rsidRDefault="00574196">
            <w:pPr>
              <w:rPr>
                <w:rFonts w:ascii="Times New Roman" w:hAnsi="Times New Roman" w:cs="Times New Roman"/>
              </w:rPr>
            </w:pPr>
            <w:r w:rsidRPr="00A022A0">
              <w:rPr>
                <w:rFonts w:ascii="Times New Roman" w:hAnsi="Times New Roman" w:cs="Times New Roman"/>
                <w:noProof/>
              </w:rPr>
              <w:t>University of Colorado Denver</w:t>
            </w:r>
          </w:p>
          <w:p w:rsidR="00574196" w:rsidRPr="004B070F" w:rsidRDefault="00574196">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88,941</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574196" w:rsidRDefault="00574196">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177,882</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574196" w:rsidRPr="004B070F" w:rsidRDefault="00574196">
            <w:pPr>
              <w:rPr>
                <w:rFonts w:ascii="Times New Roman" w:hAnsi="Times New Roman" w:cs="Times New Roman"/>
              </w:rPr>
            </w:pPr>
            <w:r w:rsidRPr="00A022A0">
              <w:rPr>
                <w:rFonts w:ascii="Times New Roman" w:hAnsi="Times New Roman" w:cs="Times New Roman"/>
                <w:noProof/>
              </w:rPr>
              <w:t>69A3551747108</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Pr>
                <w:rFonts w:ascii="Times New Roman" w:hAnsi="Times New Roman" w:cs="Times New Roman"/>
              </w:rPr>
              <w:t>Start and End Dates</w:t>
            </w:r>
          </w:p>
        </w:tc>
        <w:tc>
          <w:tcPr>
            <w:tcW w:w="6390" w:type="dxa"/>
          </w:tcPr>
          <w:p w:rsidR="00574196" w:rsidRPr="004B070F" w:rsidRDefault="00574196">
            <w:pPr>
              <w:rPr>
                <w:rFonts w:ascii="Times New Roman" w:hAnsi="Times New Roman" w:cs="Times New Roman"/>
                <w:highlight w:val="yellow"/>
              </w:rPr>
            </w:pPr>
            <w:r w:rsidRPr="00A022A0">
              <w:rPr>
                <w:rFonts w:ascii="Times New Roman" w:hAnsi="Times New Roman" w:cs="Times New Roman"/>
                <w:noProof/>
              </w:rPr>
              <w:t>December 11, 2017 to July 31, 2022</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99034F" w:rsidRPr="0099034F" w:rsidRDefault="0099034F" w:rsidP="0099034F">
            <w:pPr>
              <w:jc w:val="both"/>
              <w:rPr>
                <w:rFonts w:ascii="Times New Roman" w:hAnsi="Times New Roman" w:cs="Times New Roman"/>
                <w:szCs w:val="24"/>
              </w:rPr>
            </w:pPr>
            <w:r w:rsidRPr="0099034F">
              <w:rPr>
                <w:rFonts w:ascii="Times New Roman" w:hAnsi="Times New Roman" w:cs="Times New Roman"/>
                <w:szCs w:val="24"/>
              </w:rPr>
              <w:t>This project will first evaluate existing rates of walking and bicycling to school for selected elementary and middle schools in Denver, Colorado. We will then measure the impact of parental safety perceptions – measured through a survey – and develop a mode choice model to estimate the number of active transport trips suppressed by road safety fears (</w:t>
            </w:r>
            <w:proofErr w:type="spellStart"/>
            <w:r w:rsidRPr="0099034F">
              <w:rPr>
                <w:rFonts w:ascii="Times New Roman" w:hAnsi="Times New Roman" w:cs="Times New Roman"/>
                <w:szCs w:val="24"/>
              </w:rPr>
              <w:t>Nevelsteen</w:t>
            </w:r>
            <w:proofErr w:type="spellEnd"/>
            <w:r w:rsidRPr="0099034F">
              <w:rPr>
                <w:rFonts w:ascii="Times New Roman" w:hAnsi="Times New Roman" w:cs="Times New Roman"/>
                <w:szCs w:val="24"/>
              </w:rPr>
              <w:t xml:space="preserve">, </w:t>
            </w:r>
            <w:proofErr w:type="spellStart"/>
            <w:r w:rsidRPr="0099034F">
              <w:rPr>
                <w:rFonts w:ascii="Times New Roman" w:hAnsi="Times New Roman" w:cs="Times New Roman"/>
                <w:szCs w:val="24"/>
              </w:rPr>
              <w:t>Steenberghen</w:t>
            </w:r>
            <w:proofErr w:type="spellEnd"/>
            <w:r w:rsidRPr="0099034F">
              <w:rPr>
                <w:rFonts w:ascii="Times New Roman" w:hAnsi="Times New Roman" w:cs="Times New Roman"/>
                <w:szCs w:val="24"/>
              </w:rPr>
              <w:t xml:space="preserve">, </w:t>
            </w:r>
            <w:proofErr w:type="spellStart"/>
            <w:r w:rsidRPr="0099034F">
              <w:rPr>
                <w:rFonts w:ascii="Times New Roman" w:hAnsi="Times New Roman" w:cs="Times New Roman"/>
                <w:szCs w:val="24"/>
              </w:rPr>
              <w:t>Rompaey</w:t>
            </w:r>
            <w:proofErr w:type="spellEnd"/>
            <w:r w:rsidRPr="0099034F">
              <w:rPr>
                <w:rFonts w:ascii="Times New Roman" w:hAnsi="Times New Roman" w:cs="Times New Roman"/>
                <w:szCs w:val="24"/>
              </w:rPr>
              <w:t xml:space="preserve">, and </w:t>
            </w:r>
            <w:proofErr w:type="spellStart"/>
            <w:r w:rsidRPr="0099034F">
              <w:rPr>
                <w:rFonts w:ascii="Times New Roman" w:hAnsi="Times New Roman" w:cs="Times New Roman"/>
                <w:szCs w:val="24"/>
              </w:rPr>
              <w:t>Uyttersprot</w:t>
            </w:r>
            <w:proofErr w:type="spellEnd"/>
            <w:r w:rsidRPr="0099034F">
              <w:rPr>
                <w:rFonts w:ascii="Times New Roman" w:hAnsi="Times New Roman" w:cs="Times New Roman"/>
                <w:szCs w:val="24"/>
              </w:rPr>
              <w:t xml:space="preserve"> 2012). Lastly, we will reassess safety outcomes and attempt to identify unsafe areas that </w:t>
            </w:r>
            <w:proofErr w:type="gramStart"/>
            <w:r w:rsidRPr="0099034F">
              <w:rPr>
                <w:rFonts w:ascii="Times New Roman" w:hAnsi="Times New Roman" w:cs="Times New Roman"/>
                <w:szCs w:val="24"/>
              </w:rPr>
              <w:t>may have been neglected</w:t>
            </w:r>
            <w:proofErr w:type="gramEnd"/>
            <w:r w:rsidRPr="0099034F">
              <w:rPr>
                <w:rFonts w:ascii="Times New Roman" w:hAnsi="Times New Roman" w:cs="Times New Roman"/>
                <w:szCs w:val="24"/>
              </w:rPr>
              <w:t xml:space="preserve"> by traditional safety analyses. If child pedestrians and bicyclists are indeed safer now than in the past, this gives credence to the effectiveness of our current efforts. If our better safety record for child pedestrians and bicyclists has more to do with a system that has intimidated parents into chauffeuring their kids whenever possible, then it means that we have more work to do.</w:t>
            </w:r>
          </w:p>
          <w:p w:rsidR="0099034F" w:rsidRPr="0099034F" w:rsidRDefault="0099034F" w:rsidP="0099034F">
            <w:pPr>
              <w:jc w:val="both"/>
              <w:rPr>
                <w:rFonts w:ascii="Times New Roman" w:hAnsi="Times New Roman" w:cs="Times New Roman"/>
                <w:szCs w:val="24"/>
              </w:rPr>
            </w:pPr>
          </w:p>
          <w:p w:rsidR="00574196" w:rsidRPr="004B7858" w:rsidRDefault="0099034F" w:rsidP="0099034F">
            <w:pPr>
              <w:jc w:val="both"/>
              <w:rPr>
                <w:rFonts w:ascii="Times New Roman" w:hAnsi="Times New Roman" w:cs="Times New Roman"/>
                <w:szCs w:val="24"/>
              </w:rPr>
            </w:pPr>
            <w:r w:rsidRPr="0099034F">
              <w:rPr>
                <w:rFonts w:ascii="Times New Roman" w:hAnsi="Times New Roman" w:cs="Times New Roman"/>
                <w:szCs w:val="24"/>
              </w:rPr>
              <w:t xml:space="preserve">While these questions </w:t>
            </w:r>
            <w:proofErr w:type="gramStart"/>
            <w:r w:rsidRPr="0099034F">
              <w:rPr>
                <w:rFonts w:ascii="Times New Roman" w:hAnsi="Times New Roman" w:cs="Times New Roman"/>
                <w:szCs w:val="24"/>
              </w:rPr>
              <w:t>may be asked</w:t>
            </w:r>
            <w:proofErr w:type="gramEnd"/>
            <w:r w:rsidRPr="0099034F">
              <w:rPr>
                <w:rFonts w:ascii="Times New Roman" w:hAnsi="Times New Roman" w:cs="Times New Roman"/>
                <w:szCs w:val="24"/>
              </w:rPr>
              <w:t xml:space="preserve"> about pedestrians and bicyclists of all ages, children will be the focus of this work because of the critical role perceived safety plays in childhood mode choice and the </w:t>
            </w:r>
            <w:r w:rsidRPr="0099034F">
              <w:rPr>
                <w:rFonts w:ascii="Times New Roman" w:hAnsi="Times New Roman" w:cs="Times New Roman"/>
                <w:szCs w:val="24"/>
              </w:rPr>
              <w:lastRenderedPageBreak/>
              <w:t xml:space="preserve">important mental, physical, and developmental benefits that active travel provides for children. In addition, children's trips </w:t>
            </w:r>
            <w:proofErr w:type="gramStart"/>
            <w:r w:rsidRPr="0099034F">
              <w:rPr>
                <w:rFonts w:ascii="Times New Roman" w:hAnsi="Times New Roman" w:cs="Times New Roman"/>
                <w:szCs w:val="24"/>
              </w:rPr>
              <w:t>are typically regulated</w:t>
            </w:r>
            <w:proofErr w:type="gramEnd"/>
            <w:r w:rsidRPr="0099034F">
              <w:rPr>
                <w:rFonts w:ascii="Times New Roman" w:hAnsi="Times New Roman" w:cs="Times New Roman"/>
                <w:szCs w:val="24"/>
              </w:rPr>
              <w:t xml:space="preserve"> by parents and are often concentrated around select locations such as schools and parks, making them more feasible to systematically study at a large scale.</w:t>
            </w:r>
          </w:p>
        </w:tc>
      </w:tr>
      <w:tr w:rsidR="00574196" w:rsidRPr="004B070F" w:rsidTr="0061014C">
        <w:trPr>
          <w:trHeight w:val="800"/>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574196" w:rsidRPr="004B070F" w:rsidRDefault="00574196">
            <w:pPr>
              <w:rPr>
                <w:rFonts w:ascii="Times New Roman" w:hAnsi="Times New Roman" w:cs="Times New Roman"/>
              </w:rPr>
            </w:pPr>
          </w:p>
          <w:p w:rsidR="00574196" w:rsidRPr="004B070F" w:rsidRDefault="00574196">
            <w:pPr>
              <w:rPr>
                <w:rFonts w:ascii="Times New Roman" w:hAnsi="Times New Roman" w:cs="Times New Roman"/>
              </w:rPr>
            </w:pPr>
            <w:r w:rsidRPr="004B070F">
              <w:rPr>
                <w:rFonts w:ascii="Times New Roman" w:hAnsi="Times New Roman" w:cs="Times New Roman"/>
              </w:rPr>
              <w:t>Place Any Photos Here</w:t>
            </w:r>
          </w:p>
        </w:tc>
        <w:tc>
          <w:tcPr>
            <w:tcW w:w="6390" w:type="dxa"/>
          </w:tcPr>
          <w:p w:rsidR="00920C84" w:rsidRPr="00920C84" w:rsidRDefault="00920C84" w:rsidP="00920C84">
            <w:pPr>
              <w:jc w:val="both"/>
              <w:rPr>
                <w:rFonts w:ascii="Times New Roman" w:hAnsi="Times New Roman" w:cs="Times New Roman"/>
              </w:rPr>
            </w:pPr>
            <w:r w:rsidRPr="00920C84">
              <w:rPr>
                <w:rFonts w:ascii="Times New Roman" w:hAnsi="Times New Roman" w:cs="Times New Roman"/>
              </w:rPr>
              <w:t xml:space="preserve">All of the following research objectives were implemented: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Collect child pedestrian and bicyclist exposure data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Gather built environment data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Measure perceived safety by parents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Build a mode choice model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Explore the implications of perceived safety on exposure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Reassess road safety outcomes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 xml:space="preserve">Advance policy and practice with respect to building safer cities </w:t>
            </w:r>
          </w:p>
          <w:p w:rsidR="00920C84" w:rsidRPr="00920C84" w:rsidRDefault="00920C84" w:rsidP="00920C84">
            <w:pPr>
              <w:pStyle w:val="ListParagraph"/>
              <w:numPr>
                <w:ilvl w:val="0"/>
                <w:numId w:val="8"/>
              </w:numPr>
              <w:jc w:val="both"/>
              <w:rPr>
                <w:rFonts w:ascii="Times New Roman" w:hAnsi="Times New Roman" w:cs="Times New Roman"/>
              </w:rPr>
            </w:pPr>
            <w:r w:rsidRPr="00920C84">
              <w:rPr>
                <w:rFonts w:ascii="Times New Roman" w:hAnsi="Times New Roman" w:cs="Times New Roman"/>
              </w:rPr>
              <w:t>Advance education t</w:t>
            </w:r>
            <w:r w:rsidRPr="00920C84">
              <w:rPr>
                <w:rFonts w:ascii="Times New Roman" w:hAnsi="Times New Roman" w:cs="Times New Roman"/>
              </w:rPr>
              <w:t>hrough the training of students</w:t>
            </w:r>
          </w:p>
          <w:p w:rsidR="00574196" w:rsidRPr="004B070F" w:rsidRDefault="00920C84" w:rsidP="00920C84">
            <w:pPr>
              <w:pStyle w:val="ListParagraph"/>
              <w:numPr>
                <w:ilvl w:val="0"/>
                <w:numId w:val="8"/>
              </w:numPr>
              <w:jc w:val="both"/>
            </w:pPr>
            <w:r w:rsidRPr="00920C84">
              <w:rPr>
                <w:rFonts w:ascii="Times New Roman" w:hAnsi="Times New Roman" w:cs="Times New Roman"/>
              </w:rPr>
              <w:t>Build an evidence base by disseminating findings through publications and presentations</w:t>
            </w:r>
          </w:p>
        </w:tc>
      </w:tr>
      <w:tr w:rsidR="00574196" w:rsidRPr="004B070F" w:rsidTr="0061014C">
        <w:trPr>
          <w:trHeight w:val="386"/>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t>Impacts/Benefits of Implementation</w:t>
            </w:r>
          </w:p>
          <w:p w:rsidR="00574196" w:rsidRPr="004B070F" w:rsidRDefault="00574196">
            <w:pPr>
              <w:rPr>
                <w:rFonts w:ascii="Times New Roman" w:hAnsi="Times New Roman" w:cs="Times New Roman"/>
              </w:rPr>
            </w:pPr>
            <w:r>
              <w:rPr>
                <w:rFonts w:ascii="Times New Roman" w:hAnsi="Times New Roman" w:cs="Times New Roman"/>
              </w:rPr>
              <w:t>(actual, not anticipated)</w:t>
            </w:r>
          </w:p>
        </w:tc>
        <w:tc>
          <w:tcPr>
            <w:tcW w:w="6390" w:type="dxa"/>
          </w:tcPr>
          <w:p w:rsidR="00574196" w:rsidRPr="004B070F" w:rsidRDefault="006D341F" w:rsidP="00465817">
            <w:pPr>
              <w:rPr>
                <w:rFonts w:ascii="Times New Roman" w:hAnsi="Times New Roman" w:cs="Times New Roman"/>
              </w:rPr>
            </w:pPr>
            <w:r w:rsidRPr="006D341F">
              <w:rPr>
                <w:rFonts w:ascii="Times New Roman" w:hAnsi="Times New Roman" w:cs="Times New Roman"/>
              </w:rPr>
              <w:t xml:space="preserve">Both reactive and proactive safety analyses provide unique and important perspectives on traffic safety. If our goal is to enable more people to safely walk and bike as opposed to simply reducing crashes, then it is imperative to consider active transportation traffic safety proactively. As it stands, many traffic safety issues – which act as barriers to walkability and </w:t>
            </w:r>
            <w:proofErr w:type="spellStart"/>
            <w:r w:rsidRPr="006D341F">
              <w:rPr>
                <w:rFonts w:ascii="Times New Roman" w:hAnsi="Times New Roman" w:cs="Times New Roman"/>
              </w:rPr>
              <w:t>bikability</w:t>
            </w:r>
            <w:proofErr w:type="spellEnd"/>
            <w:r w:rsidRPr="006D341F">
              <w:rPr>
                <w:rFonts w:ascii="Times New Roman" w:hAnsi="Times New Roman" w:cs="Times New Roman"/>
              </w:rPr>
              <w:t xml:space="preserve"> – remain unrecognized. This includes many low-income, low-education, black, and Hispanic populations that are particularly impact</w:t>
            </w:r>
            <w:bookmarkStart w:id="0" w:name="_GoBack"/>
            <w:bookmarkEnd w:id="0"/>
            <w:r w:rsidRPr="006D341F">
              <w:rPr>
                <w:rFonts w:ascii="Times New Roman" w:hAnsi="Times New Roman" w:cs="Times New Roman"/>
              </w:rPr>
              <w:t xml:space="preserve">ed by </w:t>
            </w:r>
            <w:proofErr w:type="gramStart"/>
            <w:r w:rsidRPr="006D341F">
              <w:rPr>
                <w:rFonts w:ascii="Times New Roman" w:hAnsi="Times New Roman" w:cs="Times New Roman"/>
              </w:rPr>
              <w:t>proactively-identified</w:t>
            </w:r>
            <w:proofErr w:type="gramEnd"/>
            <w:r w:rsidRPr="006D341F">
              <w:rPr>
                <w:rFonts w:ascii="Times New Roman" w:hAnsi="Times New Roman" w:cs="Times New Roman"/>
              </w:rPr>
              <w:t xml:space="preserve"> traffic safety issues. We also provide a toolbox that will allow cities to focus their Vision Zero efforts on designing for kids.</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t>Web Links</w:t>
            </w:r>
          </w:p>
          <w:p w:rsidR="00574196" w:rsidRPr="004B070F" w:rsidRDefault="00574196"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574196" w:rsidRPr="004B7858" w:rsidRDefault="00574196"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574196" w:rsidRPr="004B070F" w:rsidRDefault="00DB5B84">
            <w:pPr>
              <w:rPr>
                <w:rFonts w:ascii="Times New Roman" w:hAnsi="Times New Roman" w:cs="Times New Roman"/>
              </w:rPr>
            </w:pPr>
            <w:r w:rsidRPr="00DB5B84">
              <w:rPr>
                <w:rFonts w:ascii="Times New Roman" w:hAnsi="Times New Roman" w:cs="Times New Roman"/>
              </w:rPr>
              <w:t>https://www.ugpti.org/resources/reports/details.php?id=937</w:t>
            </w:r>
          </w:p>
        </w:tc>
      </w:tr>
    </w:tbl>
    <w:p w:rsidR="00574196" w:rsidRPr="00F25513" w:rsidRDefault="00574196">
      <w:pPr>
        <w:rPr>
          <w:rFonts w:ascii="Times New Roman" w:hAnsi="Times New Roman" w:cs="Times New Roman"/>
        </w:rPr>
      </w:pPr>
    </w:p>
    <w:sectPr w:rsidR="00574196" w:rsidRPr="00F25513" w:rsidSect="00574196">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D1F34"/>
    <w:multiLevelType w:val="hybridMultilevel"/>
    <w:tmpl w:val="CAA481AA"/>
    <w:lvl w:ilvl="0" w:tplc="001ECF8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762EF"/>
    <w:multiLevelType w:val="hybridMultilevel"/>
    <w:tmpl w:val="5366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162D"/>
    <w:rsid w:val="00055F72"/>
    <w:rsid w:val="000722B1"/>
    <w:rsid w:val="000A6711"/>
    <w:rsid w:val="000F25D1"/>
    <w:rsid w:val="000F3EED"/>
    <w:rsid w:val="0011794E"/>
    <w:rsid w:val="00144705"/>
    <w:rsid w:val="00153B4B"/>
    <w:rsid w:val="00156068"/>
    <w:rsid w:val="00167D11"/>
    <w:rsid w:val="0017516D"/>
    <w:rsid w:val="00194A73"/>
    <w:rsid w:val="001B74CD"/>
    <w:rsid w:val="001F2747"/>
    <w:rsid w:val="00200B97"/>
    <w:rsid w:val="002201AC"/>
    <w:rsid w:val="002241F0"/>
    <w:rsid w:val="002339C1"/>
    <w:rsid w:val="00265E1D"/>
    <w:rsid w:val="0028546B"/>
    <w:rsid w:val="002F38EB"/>
    <w:rsid w:val="002F44C5"/>
    <w:rsid w:val="002F6FE5"/>
    <w:rsid w:val="0032323F"/>
    <w:rsid w:val="00345ECC"/>
    <w:rsid w:val="00357985"/>
    <w:rsid w:val="003771C8"/>
    <w:rsid w:val="0037769A"/>
    <w:rsid w:val="00382035"/>
    <w:rsid w:val="003A1F97"/>
    <w:rsid w:val="003A3D87"/>
    <w:rsid w:val="003E378B"/>
    <w:rsid w:val="003F4CA3"/>
    <w:rsid w:val="00400D46"/>
    <w:rsid w:val="004139FC"/>
    <w:rsid w:val="0041641D"/>
    <w:rsid w:val="0042016D"/>
    <w:rsid w:val="004222E3"/>
    <w:rsid w:val="0043128E"/>
    <w:rsid w:val="004519D5"/>
    <w:rsid w:val="00461EFB"/>
    <w:rsid w:val="00465817"/>
    <w:rsid w:val="004801CC"/>
    <w:rsid w:val="00481D12"/>
    <w:rsid w:val="004B070F"/>
    <w:rsid w:val="004B684F"/>
    <w:rsid w:val="004B7858"/>
    <w:rsid w:val="004D13A5"/>
    <w:rsid w:val="004E2473"/>
    <w:rsid w:val="005037E6"/>
    <w:rsid w:val="005103AC"/>
    <w:rsid w:val="00520CCC"/>
    <w:rsid w:val="00522A6B"/>
    <w:rsid w:val="005342E3"/>
    <w:rsid w:val="005418BF"/>
    <w:rsid w:val="00557E41"/>
    <w:rsid w:val="005739F2"/>
    <w:rsid w:val="00574196"/>
    <w:rsid w:val="00591E92"/>
    <w:rsid w:val="005A34A9"/>
    <w:rsid w:val="005D64F4"/>
    <w:rsid w:val="005E1A27"/>
    <w:rsid w:val="0061014C"/>
    <w:rsid w:val="00626C8E"/>
    <w:rsid w:val="00636265"/>
    <w:rsid w:val="00644861"/>
    <w:rsid w:val="006740CA"/>
    <w:rsid w:val="006770E3"/>
    <w:rsid w:val="00682375"/>
    <w:rsid w:val="006B398F"/>
    <w:rsid w:val="006B6691"/>
    <w:rsid w:val="006C5A77"/>
    <w:rsid w:val="006D341F"/>
    <w:rsid w:val="007247F1"/>
    <w:rsid w:val="007364B2"/>
    <w:rsid w:val="0073654F"/>
    <w:rsid w:val="007700A5"/>
    <w:rsid w:val="00774887"/>
    <w:rsid w:val="00784934"/>
    <w:rsid w:val="00784948"/>
    <w:rsid w:val="007904EF"/>
    <w:rsid w:val="007A0C7D"/>
    <w:rsid w:val="007A0F34"/>
    <w:rsid w:val="007C24D2"/>
    <w:rsid w:val="007C5540"/>
    <w:rsid w:val="007C6A8C"/>
    <w:rsid w:val="007F1224"/>
    <w:rsid w:val="00820860"/>
    <w:rsid w:val="00832B74"/>
    <w:rsid w:val="00834DD0"/>
    <w:rsid w:val="0085153B"/>
    <w:rsid w:val="0085296A"/>
    <w:rsid w:val="00862CEA"/>
    <w:rsid w:val="00863038"/>
    <w:rsid w:val="00890623"/>
    <w:rsid w:val="008A112D"/>
    <w:rsid w:val="008C4D3A"/>
    <w:rsid w:val="00920C84"/>
    <w:rsid w:val="00947EC7"/>
    <w:rsid w:val="00960AD7"/>
    <w:rsid w:val="00965963"/>
    <w:rsid w:val="0098520A"/>
    <w:rsid w:val="0099034F"/>
    <w:rsid w:val="00991DD0"/>
    <w:rsid w:val="009A2A86"/>
    <w:rsid w:val="009B6455"/>
    <w:rsid w:val="009D1318"/>
    <w:rsid w:val="009D71A7"/>
    <w:rsid w:val="00A1029D"/>
    <w:rsid w:val="00A326E7"/>
    <w:rsid w:val="00A40D9F"/>
    <w:rsid w:val="00A47880"/>
    <w:rsid w:val="00A61B30"/>
    <w:rsid w:val="00A948F3"/>
    <w:rsid w:val="00AB37E5"/>
    <w:rsid w:val="00AB4E1A"/>
    <w:rsid w:val="00AD1BD6"/>
    <w:rsid w:val="00AD6E8F"/>
    <w:rsid w:val="00AE2AF2"/>
    <w:rsid w:val="00AE5B09"/>
    <w:rsid w:val="00B01048"/>
    <w:rsid w:val="00B21F58"/>
    <w:rsid w:val="00B260A1"/>
    <w:rsid w:val="00B56CF1"/>
    <w:rsid w:val="00B63F87"/>
    <w:rsid w:val="00B65EB3"/>
    <w:rsid w:val="00B95278"/>
    <w:rsid w:val="00BC678B"/>
    <w:rsid w:val="00BD2E5F"/>
    <w:rsid w:val="00BD7D3D"/>
    <w:rsid w:val="00BF275C"/>
    <w:rsid w:val="00C05C39"/>
    <w:rsid w:val="00C233BB"/>
    <w:rsid w:val="00C7764F"/>
    <w:rsid w:val="00C86AC4"/>
    <w:rsid w:val="00C93D8B"/>
    <w:rsid w:val="00CE1984"/>
    <w:rsid w:val="00CF3C6A"/>
    <w:rsid w:val="00D35F1D"/>
    <w:rsid w:val="00D50207"/>
    <w:rsid w:val="00D76096"/>
    <w:rsid w:val="00DA713E"/>
    <w:rsid w:val="00DB4ECC"/>
    <w:rsid w:val="00DB5B84"/>
    <w:rsid w:val="00DB767A"/>
    <w:rsid w:val="00DE700B"/>
    <w:rsid w:val="00DF3B4C"/>
    <w:rsid w:val="00E2770B"/>
    <w:rsid w:val="00E52614"/>
    <w:rsid w:val="00E90782"/>
    <w:rsid w:val="00E90A52"/>
    <w:rsid w:val="00EB69C5"/>
    <w:rsid w:val="00EE529C"/>
    <w:rsid w:val="00F02774"/>
    <w:rsid w:val="00F04DF2"/>
    <w:rsid w:val="00F25513"/>
    <w:rsid w:val="00F33865"/>
    <w:rsid w:val="00F45EA0"/>
    <w:rsid w:val="00F47476"/>
    <w:rsid w:val="00F50059"/>
    <w:rsid w:val="00F54229"/>
    <w:rsid w:val="00F6271A"/>
    <w:rsid w:val="00F80C7F"/>
    <w:rsid w:val="00F96D62"/>
    <w:rsid w:val="00FD5E85"/>
    <w:rsid w:val="00FE7A94"/>
    <w:rsid w:val="00FF5D8B"/>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4A1D"/>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D27F-13FB-4DFA-9EB8-5474D190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UTC Project Information | Reassessing Child Pedestrian Mode Choice &amp; Safety via Perceived Parental Risk</vt:lpstr>
    </vt:vector>
  </TitlesOfParts>
  <Company>DOT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Reassessing Child Pedestrian Mode Choice &amp; Safety via Perceived Parental Risk</dc:title>
  <dc:creator>megan.c.bohn</dc:creator>
  <cp:lastModifiedBy>Nichols, Patrick</cp:lastModifiedBy>
  <cp:revision>11</cp:revision>
  <cp:lastPrinted>2018-01-02T20:11:00Z</cp:lastPrinted>
  <dcterms:created xsi:type="dcterms:W3CDTF">2018-01-02T19:40:00Z</dcterms:created>
  <dcterms:modified xsi:type="dcterms:W3CDTF">2019-05-07T13:14:00Z</dcterms:modified>
</cp:coreProperties>
</file>