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325"/>
        <w:gridCol w:w="6750"/>
      </w:tblGrid>
      <w:tr w:rsidR="006369C0" w:rsidRPr="004B070F" w14:paraId="4972181A" w14:textId="77777777" w:rsidTr="006B3AC5">
        <w:trPr>
          <w:jc w:val="center"/>
        </w:trPr>
        <w:tc>
          <w:tcPr>
            <w:tcW w:w="10075" w:type="dxa"/>
            <w:gridSpan w:val="2"/>
          </w:tcPr>
          <w:p w14:paraId="58EE4FA3" w14:textId="292DBFFF"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3CD5AF2F" w14:textId="77777777" w:rsidTr="006B3AC5">
        <w:trPr>
          <w:jc w:val="center"/>
        </w:trPr>
        <w:tc>
          <w:tcPr>
            <w:tcW w:w="3325" w:type="dxa"/>
          </w:tcPr>
          <w:p w14:paraId="391368E6" w14:textId="77777777" w:rsidR="006369C0" w:rsidRPr="004B070F" w:rsidRDefault="006369C0">
            <w:pPr>
              <w:rPr>
                <w:rFonts w:cs="Times New Roman"/>
              </w:rPr>
            </w:pPr>
            <w:r>
              <w:rPr>
                <w:rFonts w:cs="Times New Roman"/>
              </w:rPr>
              <w:t>Project Title</w:t>
            </w:r>
          </w:p>
        </w:tc>
        <w:tc>
          <w:tcPr>
            <w:tcW w:w="6750" w:type="dxa"/>
          </w:tcPr>
          <w:p w14:paraId="38AC1606" w14:textId="77777777" w:rsidR="006369C0" w:rsidRPr="004B7858" w:rsidRDefault="0001290E" w:rsidP="000554DF">
            <w:pPr>
              <w:jc w:val="both"/>
              <w:rPr>
                <w:rFonts w:cs="Times New Roman"/>
                <w:szCs w:val="24"/>
              </w:rPr>
            </w:pPr>
            <w:r>
              <w:rPr>
                <w:rFonts w:cs="Times New Roman"/>
                <w:noProof/>
                <w:szCs w:val="24"/>
              </w:rPr>
              <w:t>MPC-5</w:t>
            </w:r>
            <w:r w:rsidR="006369C0" w:rsidRPr="00432B0E">
              <w:rPr>
                <w:rFonts w:cs="Times New Roman"/>
                <w:noProof/>
                <w:szCs w:val="24"/>
              </w:rPr>
              <w:t>7</w:t>
            </w:r>
            <w:r w:rsidR="00CE6956">
              <w:rPr>
                <w:rFonts w:cs="Times New Roman"/>
                <w:noProof/>
                <w:szCs w:val="24"/>
              </w:rPr>
              <w:t>5</w:t>
            </w:r>
            <w:r w:rsidR="006369C0">
              <w:rPr>
                <w:rFonts w:cs="Times New Roman"/>
                <w:szCs w:val="24"/>
              </w:rPr>
              <w:t xml:space="preserve"> – </w:t>
            </w:r>
            <w:r w:rsidR="00CE6956" w:rsidRPr="00CE6956">
              <w:rPr>
                <w:rFonts w:cs="Times New Roman"/>
                <w:szCs w:val="24"/>
              </w:rPr>
              <w:t>Characterization of the Plant-Based Bio-Asphalt Binder and Bio-Additives</w:t>
            </w:r>
          </w:p>
        </w:tc>
      </w:tr>
      <w:tr w:rsidR="006369C0" w:rsidRPr="004B070F" w14:paraId="4FE6D1A0" w14:textId="77777777" w:rsidTr="006B3AC5">
        <w:trPr>
          <w:jc w:val="center"/>
        </w:trPr>
        <w:tc>
          <w:tcPr>
            <w:tcW w:w="3325" w:type="dxa"/>
          </w:tcPr>
          <w:p w14:paraId="6CAE7118" w14:textId="77777777" w:rsidR="006369C0" w:rsidRPr="004B070F" w:rsidRDefault="006369C0">
            <w:pPr>
              <w:rPr>
                <w:rFonts w:cs="Times New Roman"/>
              </w:rPr>
            </w:pPr>
            <w:r>
              <w:rPr>
                <w:rFonts w:cs="Times New Roman"/>
              </w:rPr>
              <w:t>University</w:t>
            </w:r>
          </w:p>
        </w:tc>
        <w:tc>
          <w:tcPr>
            <w:tcW w:w="6750" w:type="dxa"/>
          </w:tcPr>
          <w:p w14:paraId="7B358972" w14:textId="77777777" w:rsidR="006369C0" w:rsidRPr="004B7858" w:rsidRDefault="00471D9C" w:rsidP="00C1254F">
            <w:pPr>
              <w:jc w:val="both"/>
              <w:rPr>
                <w:rFonts w:eastAsia="Calibri" w:cs="Times New Roman"/>
                <w:szCs w:val="24"/>
              </w:rPr>
            </w:pPr>
            <w:r w:rsidRPr="00471D9C">
              <w:rPr>
                <w:rFonts w:eastAsia="Calibri" w:cs="Times New Roman"/>
                <w:szCs w:val="24"/>
              </w:rPr>
              <w:t>South Dakota State University</w:t>
            </w:r>
          </w:p>
        </w:tc>
      </w:tr>
      <w:tr w:rsidR="006369C0" w:rsidRPr="004B070F" w14:paraId="3B35C23F" w14:textId="77777777" w:rsidTr="006B3AC5">
        <w:trPr>
          <w:jc w:val="center"/>
        </w:trPr>
        <w:tc>
          <w:tcPr>
            <w:tcW w:w="3325" w:type="dxa"/>
          </w:tcPr>
          <w:p w14:paraId="6504C0AA" w14:textId="77777777" w:rsidR="006369C0" w:rsidRPr="004B070F" w:rsidRDefault="006369C0">
            <w:pPr>
              <w:rPr>
                <w:rFonts w:cs="Times New Roman"/>
              </w:rPr>
            </w:pPr>
            <w:r>
              <w:rPr>
                <w:rFonts w:cs="Times New Roman"/>
              </w:rPr>
              <w:t>Principal Investigator</w:t>
            </w:r>
          </w:p>
        </w:tc>
        <w:tc>
          <w:tcPr>
            <w:tcW w:w="6750" w:type="dxa"/>
          </w:tcPr>
          <w:p w14:paraId="026015EC" w14:textId="77777777" w:rsidR="008E2450" w:rsidRPr="004B7858" w:rsidRDefault="00FE14D9" w:rsidP="007247F1">
            <w:pPr>
              <w:autoSpaceDE w:val="0"/>
              <w:autoSpaceDN w:val="0"/>
              <w:adjustRightInd w:val="0"/>
              <w:rPr>
                <w:rFonts w:eastAsia="Times New Roman" w:cs="Times New Roman"/>
                <w:color w:val="000000"/>
                <w:szCs w:val="24"/>
              </w:rPr>
            </w:pPr>
            <w:r w:rsidRPr="00FE14D9">
              <w:rPr>
                <w:rFonts w:eastAsia="Times New Roman" w:cs="Times New Roman"/>
                <w:noProof/>
                <w:color w:val="000000"/>
                <w:szCs w:val="24"/>
              </w:rPr>
              <w:t>Rouzbeh Ghabchi</w:t>
            </w:r>
          </w:p>
        </w:tc>
      </w:tr>
      <w:tr w:rsidR="006369C0" w:rsidRPr="004B070F" w14:paraId="1A133FCF" w14:textId="77777777" w:rsidTr="006B3AC5">
        <w:trPr>
          <w:jc w:val="center"/>
        </w:trPr>
        <w:tc>
          <w:tcPr>
            <w:tcW w:w="3325" w:type="dxa"/>
          </w:tcPr>
          <w:p w14:paraId="1869B79E" w14:textId="77777777" w:rsidR="006369C0" w:rsidRPr="004B070F" w:rsidRDefault="006369C0">
            <w:pPr>
              <w:rPr>
                <w:rFonts w:cs="Times New Roman"/>
              </w:rPr>
            </w:pPr>
            <w:r>
              <w:rPr>
                <w:rFonts w:cs="Times New Roman"/>
              </w:rPr>
              <w:t>PI Contact Information</w:t>
            </w:r>
          </w:p>
        </w:tc>
        <w:tc>
          <w:tcPr>
            <w:tcW w:w="6750" w:type="dxa"/>
          </w:tcPr>
          <w:p w14:paraId="2AB5F2E1" w14:textId="77777777" w:rsidR="00471D9C" w:rsidRDefault="00471D9C" w:rsidP="008E2450">
            <w:pPr>
              <w:rPr>
                <w:rFonts w:cs="Times New Roman"/>
                <w:noProof/>
                <w:szCs w:val="24"/>
              </w:rPr>
            </w:pPr>
            <w:r>
              <w:rPr>
                <w:rFonts w:cs="Times New Roman"/>
                <w:noProof/>
                <w:szCs w:val="24"/>
              </w:rPr>
              <w:t>Assistant Professor</w:t>
            </w:r>
          </w:p>
          <w:p w14:paraId="21336A59" w14:textId="77777777" w:rsidR="00471D9C" w:rsidRDefault="00471D9C" w:rsidP="008E2450">
            <w:pPr>
              <w:rPr>
                <w:rFonts w:cs="Times New Roman"/>
                <w:noProof/>
                <w:szCs w:val="24"/>
              </w:rPr>
            </w:pPr>
            <w:r>
              <w:rPr>
                <w:rFonts w:cs="Times New Roman"/>
                <w:noProof/>
                <w:szCs w:val="24"/>
              </w:rPr>
              <w:t>South Dakota State University</w:t>
            </w:r>
          </w:p>
          <w:p w14:paraId="4C838C2F" w14:textId="77777777" w:rsidR="00471D9C" w:rsidRDefault="00471D9C" w:rsidP="008E2450">
            <w:pPr>
              <w:rPr>
                <w:rFonts w:cs="Times New Roman"/>
                <w:noProof/>
                <w:szCs w:val="24"/>
              </w:rPr>
            </w:pPr>
            <w:r>
              <w:rPr>
                <w:rFonts w:cs="Times New Roman"/>
                <w:noProof/>
                <w:szCs w:val="24"/>
              </w:rPr>
              <w:t>Phone: (605) 688-6333</w:t>
            </w:r>
          </w:p>
          <w:p w14:paraId="6DA5B539" w14:textId="77777777" w:rsidR="00471D9C" w:rsidRDefault="00471D9C" w:rsidP="008E2450">
            <w:pPr>
              <w:rPr>
                <w:rFonts w:cs="Times New Roman"/>
                <w:noProof/>
                <w:szCs w:val="24"/>
              </w:rPr>
            </w:pPr>
            <w:r w:rsidRPr="00471D9C">
              <w:rPr>
                <w:rFonts w:cs="Times New Roman"/>
                <w:noProof/>
                <w:szCs w:val="24"/>
              </w:rPr>
              <w:t>Email: rouzbeh.ghabchi@sdstate.edu</w:t>
            </w:r>
          </w:p>
          <w:p w14:paraId="092636DC" w14:textId="77777777" w:rsidR="006369C0" w:rsidRDefault="00471D9C" w:rsidP="008E2450">
            <w:pPr>
              <w:rPr>
                <w:rFonts w:cs="Times New Roman"/>
                <w:szCs w:val="24"/>
              </w:rPr>
            </w:pPr>
            <w:r w:rsidRPr="00471D9C">
              <w:rPr>
                <w:rFonts w:cs="Times New Roman"/>
                <w:noProof/>
                <w:szCs w:val="24"/>
              </w:rPr>
              <w:t>ORCID: 0000-0002-3827-6315</w:t>
            </w:r>
          </w:p>
        </w:tc>
      </w:tr>
      <w:tr w:rsidR="006369C0" w:rsidRPr="004B070F" w14:paraId="78F60DFB" w14:textId="77777777" w:rsidTr="006B3AC5">
        <w:trPr>
          <w:jc w:val="center"/>
        </w:trPr>
        <w:tc>
          <w:tcPr>
            <w:tcW w:w="3325" w:type="dxa"/>
          </w:tcPr>
          <w:p w14:paraId="6F83B047"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750" w:type="dxa"/>
          </w:tcPr>
          <w:p w14:paraId="2A0E89F5" w14:textId="77777777" w:rsidR="006369C0" w:rsidRDefault="006369C0">
            <w:pPr>
              <w:rPr>
                <w:rFonts w:cs="Times New Roman"/>
              </w:rPr>
            </w:pPr>
            <w:r w:rsidRPr="00432B0E">
              <w:rPr>
                <w:rFonts w:cs="Times New Roman"/>
                <w:noProof/>
              </w:rPr>
              <w:t>USDOT, Research and Innovative Technology Administration</w:t>
            </w:r>
          </w:p>
          <w:p w14:paraId="4BF2759C" w14:textId="6424D655" w:rsidR="006369C0" w:rsidRDefault="00BF12EC" w:rsidP="00186A68">
            <w:pPr>
              <w:spacing w:after="240"/>
              <w:rPr>
                <w:rFonts w:cs="Times New Roman"/>
              </w:rPr>
            </w:pPr>
            <w:r w:rsidRPr="00BF12EC">
              <w:rPr>
                <w:rFonts w:eastAsia="Times New Roman" w:cs="Times New Roman"/>
                <w:noProof/>
                <w:color w:val="000000"/>
                <w:szCs w:val="24"/>
              </w:rPr>
              <w:t>$</w:t>
            </w:r>
            <w:r w:rsidR="00FE14D9">
              <w:rPr>
                <w:rFonts w:eastAsia="Times New Roman" w:cs="Times New Roman"/>
                <w:noProof/>
                <w:color w:val="000000"/>
                <w:szCs w:val="24"/>
              </w:rPr>
              <w:t>107</w:t>
            </w:r>
            <w:r w:rsidR="00AF4DBA">
              <w:rPr>
                <w:rFonts w:eastAsia="Times New Roman" w:cs="Times New Roman"/>
                <w:noProof/>
                <w:color w:val="000000"/>
                <w:szCs w:val="24"/>
              </w:rPr>
              <w:t>,</w:t>
            </w:r>
            <w:r w:rsidR="00FE14D9">
              <w:rPr>
                <w:rFonts w:eastAsia="Times New Roman" w:cs="Times New Roman"/>
                <w:noProof/>
                <w:color w:val="000000"/>
                <w:szCs w:val="24"/>
              </w:rPr>
              <w:t>351</w:t>
            </w:r>
          </w:p>
          <w:p w14:paraId="2F96C64D" w14:textId="0CA79310" w:rsidR="006369C0" w:rsidRDefault="00136C00">
            <w:pPr>
              <w:rPr>
                <w:rFonts w:cs="Times New Roman"/>
              </w:rPr>
            </w:pPr>
            <w:r w:rsidRPr="00471D9C">
              <w:rPr>
                <w:rFonts w:eastAsia="Calibri" w:cs="Times New Roman"/>
                <w:szCs w:val="24"/>
              </w:rPr>
              <w:t>South Dakota State University</w:t>
            </w:r>
          </w:p>
          <w:p w14:paraId="46424FA4" w14:textId="77777777" w:rsidR="006369C0" w:rsidRPr="004B070F" w:rsidRDefault="00BF12EC" w:rsidP="00FE14D9">
            <w:pPr>
              <w:rPr>
                <w:rFonts w:cs="Times New Roman"/>
              </w:rPr>
            </w:pPr>
            <w:r w:rsidRPr="00BF12EC">
              <w:rPr>
                <w:rFonts w:eastAsia="Times New Roman" w:cs="Times New Roman"/>
                <w:noProof/>
                <w:color w:val="000000"/>
                <w:szCs w:val="24"/>
              </w:rPr>
              <w:t>$</w:t>
            </w:r>
            <w:r w:rsidR="00FE14D9">
              <w:rPr>
                <w:rFonts w:eastAsia="Times New Roman" w:cs="Times New Roman"/>
                <w:noProof/>
                <w:color w:val="000000"/>
                <w:szCs w:val="24"/>
              </w:rPr>
              <w:t>107</w:t>
            </w:r>
            <w:r w:rsidRPr="00BF12EC">
              <w:rPr>
                <w:rFonts w:eastAsia="Times New Roman" w:cs="Times New Roman"/>
                <w:noProof/>
                <w:color w:val="000000"/>
                <w:szCs w:val="24"/>
              </w:rPr>
              <w:t>,</w:t>
            </w:r>
            <w:r w:rsidR="00FE14D9">
              <w:rPr>
                <w:rFonts w:eastAsia="Times New Roman" w:cs="Times New Roman"/>
                <w:noProof/>
                <w:color w:val="000000"/>
                <w:szCs w:val="24"/>
              </w:rPr>
              <w:t>524</w:t>
            </w:r>
          </w:p>
        </w:tc>
      </w:tr>
      <w:tr w:rsidR="006369C0" w:rsidRPr="004B070F" w14:paraId="0D2B63D0" w14:textId="77777777" w:rsidTr="006B3AC5">
        <w:trPr>
          <w:jc w:val="center"/>
        </w:trPr>
        <w:tc>
          <w:tcPr>
            <w:tcW w:w="3325" w:type="dxa"/>
          </w:tcPr>
          <w:p w14:paraId="12835A5C"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750" w:type="dxa"/>
          </w:tcPr>
          <w:p w14:paraId="542E3EC8" w14:textId="77777777" w:rsidR="006369C0" w:rsidRDefault="00E3612D" w:rsidP="00FE14D9">
            <w:pPr>
              <w:rPr>
                <w:rFonts w:cs="Times New Roman"/>
              </w:rPr>
            </w:pPr>
            <w:r w:rsidRPr="00E3612D">
              <w:rPr>
                <w:rFonts w:eastAsia="Times New Roman" w:cs="Times New Roman"/>
                <w:noProof/>
                <w:color w:val="000000"/>
                <w:szCs w:val="24"/>
              </w:rPr>
              <w:t>$</w:t>
            </w:r>
            <w:r w:rsidR="00FE14D9">
              <w:rPr>
                <w:rFonts w:eastAsia="Times New Roman" w:cs="Times New Roman"/>
                <w:noProof/>
                <w:color w:val="000000"/>
                <w:szCs w:val="24"/>
              </w:rPr>
              <w:t>214</w:t>
            </w:r>
            <w:r w:rsidR="00AF4DBA">
              <w:rPr>
                <w:rFonts w:eastAsia="Times New Roman" w:cs="Times New Roman"/>
                <w:noProof/>
                <w:color w:val="000000"/>
                <w:szCs w:val="24"/>
              </w:rPr>
              <w:t>,</w:t>
            </w:r>
            <w:r w:rsidR="00FE14D9">
              <w:rPr>
                <w:rFonts w:eastAsia="Times New Roman" w:cs="Times New Roman"/>
                <w:noProof/>
                <w:color w:val="000000"/>
                <w:szCs w:val="24"/>
              </w:rPr>
              <w:t>875</w:t>
            </w:r>
          </w:p>
        </w:tc>
      </w:tr>
      <w:tr w:rsidR="006369C0" w:rsidRPr="004B070F" w14:paraId="4BD97CB3" w14:textId="77777777" w:rsidTr="006B3AC5">
        <w:trPr>
          <w:jc w:val="center"/>
        </w:trPr>
        <w:tc>
          <w:tcPr>
            <w:tcW w:w="3325" w:type="dxa"/>
          </w:tcPr>
          <w:p w14:paraId="54A0DE48" w14:textId="77777777" w:rsidR="006369C0" w:rsidRPr="004B070F" w:rsidRDefault="006369C0" w:rsidP="00947EC7">
            <w:pPr>
              <w:rPr>
                <w:rFonts w:cs="Times New Roman"/>
              </w:rPr>
            </w:pPr>
            <w:r w:rsidRPr="004B070F">
              <w:rPr>
                <w:rFonts w:cs="Times New Roman"/>
              </w:rPr>
              <w:t>Agency ID or Contract Number</w:t>
            </w:r>
          </w:p>
        </w:tc>
        <w:tc>
          <w:tcPr>
            <w:tcW w:w="6750" w:type="dxa"/>
          </w:tcPr>
          <w:p w14:paraId="3A7C4114" w14:textId="77777777" w:rsidR="006369C0" w:rsidRPr="004B070F" w:rsidRDefault="006369C0">
            <w:pPr>
              <w:rPr>
                <w:rFonts w:cs="Times New Roman"/>
              </w:rPr>
            </w:pPr>
            <w:r w:rsidRPr="00432B0E">
              <w:rPr>
                <w:rFonts w:cs="Times New Roman"/>
                <w:noProof/>
              </w:rPr>
              <w:t>69A3551747108</w:t>
            </w:r>
          </w:p>
        </w:tc>
      </w:tr>
      <w:tr w:rsidR="006369C0" w:rsidRPr="004B070F" w14:paraId="742E340B" w14:textId="77777777" w:rsidTr="006B3AC5">
        <w:trPr>
          <w:jc w:val="center"/>
        </w:trPr>
        <w:tc>
          <w:tcPr>
            <w:tcW w:w="3325" w:type="dxa"/>
          </w:tcPr>
          <w:p w14:paraId="7191B019" w14:textId="77777777" w:rsidR="006369C0" w:rsidRPr="004B070F" w:rsidRDefault="006369C0" w:rsidP="00947EC7">
            <w:pPr>
              <w:rPr>
                <w:rFonts w:cs="Times New Roman"/>
              </w:rPr>
            </w:pPr>
            <w:r>
              <w:rPr>
                <w:rFonts w:cs="Times New Roman"/>
              </w:rPr>
              <w:t>Start and End Dates</w:t>
            </w:r>
          </w:p>
        </w:tc>
        <w:tc>
          <w:tcPr>
            <w:tcW w:w="6750" w:type="dxa"/>
          </w:tcPr>
          <w:p w14:paraId="7D1D9D73" w14:textId="68F032B4" w:rsidR="006369C0" w:rsidRPr="004B070F" w:rsidRDefault="00191E7F" w:rsidP="00B42EF8">
            <w:pPr>
              <w:rPr>
                <w:rFonts w:cs="Times New Roman"/>
                <w:highlight w:val="yellow"/>
              </w:rPr>
            </w:pPr>
            <w:r>
              <w:rPr>
                <w:rFonts w:cs="Times New Roman"/>
                <w:noProof/>
              </w:rPr>
              <w:t>Ju</w:t>
            </w:r>
            <w:r w:rsidR="00B42EF8">
              <w:rPr>
                <w:rFonts w:cs="Times New Roman"/>
                <w:noProof/>
              </w:rPr>
              <w:t>ly</w:t>
            </w:r>
            <w:r w:rsidR="006369C0" w:rsidRPr="00432B0E">
              <w:rPr>
                <w:rFonts w:cs="Times New Roman"/>
                <w:noProof/>
              </w:rPr>
              <w:t xml:space="preserve"> </w:t>
            </w:r>
            <w:r w:rsidR="00FE14D9">
              <w:rPr>
                <w:rFonts w:cs="Times New Roman"/>
                <w:noProof/>
              </w:rPr>
              <w:t>24</w:t>
            </w:r>
            <w:r w:rsidR="006369C0" w:rsidRPr="00432B0E">
              <w:rPr>
                <w:rFonts w:cs="Times New Roman"/>
                <w:noProof/>
              </w:rPr>
              <w:t>, 2018 to July 31, 202</w:t>
            </w:r>
            <w:r w:rsidR="0037442F">
              <w:rPr>
                <w:rFonts w:cs="Times New Roman"/>
                <w:noProof/>
              </w:rPr>
              <w:t>4</w:t>
            </w:r>
          </w:p>
        </w:tc>
      </w:tr>
      <w:tr w:rsidR="006369C0" w:rsidRPr="004B070F" w14:paraId="64C42870" w14:textId="77777777" w:rsidTr="006B3AC5">
        <w:trPr>
          <w:jc w:val="center"/>
        </w:trPr>
        <w:tc>
          <w:tcPr>
            <w:tcW w:w="3325" w:type="dxa"/>
          </w:tcPr>
          <w:p w14:paraId="2B8F8029"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750" w:type="dxa"/>
          </w:tcPr>
          <w:p w14:paraId="3B34699B" w14:textId="77777777" w:rsidR="006369C0" w:rsidRPr="004B7858" w:rsidRDefault="00FD1BC1" w:rsidP="005145DF">
            <w:pPr>
              <w:rPr>
                <w:rFonts w:cs="Times New Roman"/>
                <w:noProof/>
                <w:szCs w:val="24"/>
              </w:rPr>
            </w:pPr>
            <w:r w:rsidRPr="00FD1BC1">
              <w:rPr>
                <w:rFonts w:cs="Times New Roman"/>
                <w:noProof/>
                <w:szCs w:val="24"/>
              </w:rPr>
              <w:t>It is estimated that more than 27 million tons of asphalt binder with a value of over 12 billion dollars are annually used in the construction of U.S. highways. Asphalt binder used for pavement construction is obtained mainly by the distillation of crude oil in refineries. The scarcity of natural resources, environmental concerns, and emerging needs for sustainable materials have spurred development and use of materials and processes that are renewable and environmentally friendly. In response to this need, initiatives have been taken to develop a new generation of bio-based construction materials, as a result of continuous innovation in the use of agricultural products, byproducts and biomass as a material feedstock. Development of plant-based bio-asphalt binder to replace the petroleum-based binder is a major element of these initiatives. Therefore, development and evaluation of innovative plant-based asphalt binders and additives, such as cellulose and lignin will help to increase use of bio-materials to maximize the sustainability of ground transportation system. The proposed study aims at evaluating bio-asphalt binders and additives derived from agricultural products and byproducts prevailing in North Central Region (e.g., corn and soybean) as the primary feedstock. This will be achieved through a laboratory testing program to evaluate the performance of asphalt mixes containing plant-based bio-asphalt binder and cellulose Nano-fibers. The results of this research will allow the research team collect the necessary data to assess the feasibility of using these materials in construction of asphalt pavements in South Dakota and elsewhere.</w:t>
            </w:r>
          </w:p>
        </w:tc>
      </w:tr>
      <w:tr w:rsidR="006369C0" w:rsidRPr="004B070F" w14:paraId="2DBC7D0D" w14:textId="77777777" w:rsidTr="006B3AC5">
        <w:trPr>
          <w:trHeight w:val="188"/>
          <w:jc w:val="center"/>
        </w:trPr>
        <w:tc>
          <w:tcPr>
            <w:tcW w:w="3325" w:type="dxa"/>
          </w:tcPr>
          <w:p w14:paraId="241A3C18" w14:textId="4F29FBBD" w:rsidR="006369C0" w:rsidRPr="004B070F" w:rsidRDefault="006369C0" w:rsidP="00BE08FC">
            <w:pPr>
              <w:spacing w:after="120"/>
              <w:rPr>
                <w:rFonts w:cs="Times New Roman"/>
              </w:rPr>
            </w:pPr>
            <w:r w:rsidRPr="004B070F">
              <w:rPr>
                <w:rFonts w:cs="Times New Roman"/>
              </w:rPr>
              <w:t>Describe Implementation of Research Outcomes (or why not implemented)</w:t>
            </w:r>
          </w:p>
          <w:p w14:paraId="1D802C21" w14:textId="77777777" w:rsidR="006369C0" w:rsidRPr="004B070F" w:rsidRDefault="006369C0">
            <w:pPr>
              <w:rPr>
                <w:rFonts w:cs="Times New Roman"/>
              </w:rPr>
            </w:pPr>
            <w:r w:rsidRPr="004B070F">
              <w:rPr>
                <w:rFonts w:cs="Times New Roman"/>
              </w:rPr>
              <w:t>Place Any Photos Here</w:t>
            </w:r>
          </w:p>
        </w:tc>
        <w:tc>
          <w:tcPr>
            <w:tcW w:w="6750" w:type="dxa"/>
          </w:tcPr>
          <w:p w14:paraId="5929A56F" w14:textId="407AE228" w:rsidR="006369C0" w:rsidRPr="004B070F" w:rsidRDefault="002D3F35" w:rsidP="00BA3BE0">
            <w:r w:rsidRPr="002D3F35">
              <w:t>The findings of this study allowed the research team to collect the necessary data to assess the feasibility of using these materials in the construction of asphalt pavements in South Dakota and elsewhere. This study is further expected to promote the use of sustainable bio-materials and agricultural byproducts as the primary feedstock for producing bio-based asphalt binder additives.</w:t>
            </w:r>
          </w:p>
        </w:tc>
      </w:tr>
      <w:tr w:rsidR="006369C0" w:rsidRPr="004B070F" w14:paraId="6E87AE36" w14:textId="77777777" w:rsidTr="006B3AC5">
        <w:trPr>
          <w:trHeight w:val="26"/>
          <w:jc w:val="center"/>
        </w:trPr>
        <w:tc>
          <w:tcPr>
            <w:tcW w:w="3325" w:type="dxa"/>
          </w:tcPr>
          <w:p w14:paraId="33161A84" w14:textId="77777777" w:rsidR="006369C0" w:rsidRPr="004B070F" w:rsidRDefault="006369C0">
            <w:pPr>
              <w:rPr>
                <w:rFonts w:cs="Times New Roman"/>
              </w:rPr>
            </w:pPr>
            <w:r w:rsidRPr="004B070F">
              <w:rPr>
                <w:rFonts w:cs="Times New Roman"/>
              </w:rPr>
              <w:t>Impacts/Benefits of Implementation</w:t>
            </w:r>
          </w:p>
          <w:p w14:paraId="7203F5AB" w14:textId="77777777" w:rsidR="006369C0" w:rsidRPr="004B070F" w:rsidRDefault="006369C0">
            <w:pPr>
              <w:rPr>
                <w:rFonts w:cs="Times New Roman"/>
              </w:rPr>
            </w:pPr>
            <w:r>
              <w:rPr>
                <w:rFonts w:cs="Times New Roman"/>
              </w:rPr>
              <w:t>(actual, not anticipated)</w:t>
            </w:r>
          </w:p>
        </w:tc>
        <w:tc>
          <w:tcPr>
            <w:tcW w:w="6750" w:type="dxa"/>
          </w:tcPr>
          <w:p w14:paraId="1CF49869" w14:textId="11291350" w:rsidR="006369C0" w:rsidRPr="004B070F" w:rsidRDefault="002D3F35" w:rsidP="00465817">
            <w:pPr>
              <w:rPr>
                <w:rFonts w:cs="Times New Roman"/>
              </w:rPr>
            </w:pPr>
            <w:r w:rsidRPr="002D3F35">
              <w:rPr>
                <w:rFonts w:cs="Times New Roman"/>
              </w:rPr>
              <w:t>After implementation, this is expected to result in a reduced need for petroleum-based products, which leads to numerous environmental benefits. In addition, due to the availability of biomaterials and their low cost, significant cost savings are projected from the outcomes of this project.</w:t>
            </w:r>
          </w:p>
        </w:tc>
      </w:tr>
      <w:tr w:rsidR="006369C0" w:rsidRPr="004B070F" w14:paraId="06DC8761" w14:textId="77777777" w:rsidTr="006B3AC5">
        <w:trPr>
          <w:jc w:val="center"/>
        </w:trPr>
        <w:tc>
          <w:tcPr>
            <w:tcW w:w="3325" w:type="dxa"/>
          </w:tcPr>
          <w:p w14:paraId="6633450D" w14:textId="77777777" w:rsidR="006369C0" w:rsidRPr="004B070F" w:rsidRDefault="006369C0">
            <w:pPr>
              <w:rPr>
                <w:rFonts w:cs="Times New Roman"/>
              </w:rPr>
            </w:pPr>
            <w:r w:rsidRPr="004B070F">
              <w:rPr>
                <w:rFonts w:cs="Times New Roman"/>
              </w:rPr>
              <w:t>Web Links</w:t>
            </w:r>
          </w:p>
          <w:p w14:paraId="57ECF23E"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38160B4B"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750" w:type="dxa"/>
          </w:tcPr>
          <w:p w14:paraId="40BBFCC2" w14:textId="4663690F" w:rsidR="006369C0" w:rsidRPr="002D3F35" w:rsidRDefault="002D3F35" w:rsidP="002D3F35">
            <w:pPr>
              <w:pStyle w:val="ListParagraph"/>
              <w:numPr>
                <w:ilvl w:val="0"/>
                <w:numId w:val="2"/>
              </w:numPr>
              <w:ind w:left="424"/>
              <w:rPr>
                <w:rFonts w:cs="Times New Roman"/>
              </w:rPr>
            </w:pPr>
            <w:r>
              <w:rPr>
                <w:rFonts w:cs="Times New Roman"/>
              </w:rPr>
              <w:t xml:space="preserve">MPC Final Report – </w:t>
            </w:r>
            <w:hyperlink r:id="rId6" w:history="1">
              <w:r w:rsidRPr="002D3F35">
                <w:rPr>
                  <w:rStyle w:val="Hyperlink"/>
                  <w:rFonts w:cs="Times New Roman"/>
                </w:rPr>
                <w:t>Development and Characterization of a Plant-based Bio-Additive for Asphalt Binder</w:t>
              </w:r>
            </w:hyperlink>
          </w:p>
        </w:tc>
      </w:tr>
    </w:tbl>
    <w:p w14:paraId="5542531A" w14:textId="77777777" w:rsidR="006369C0" w:rsidRPr="00F25513" w:rsidRDefault="006369C0">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DFAA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36F2D"/>
    <w:rsid w:val="000373A9"/>
    <w:rsid w:val="000502B3"/>
    <w:rsid w:val="0005162D"/>
    <w:rsid w:val="000554DF"/>
    <w:rsid w:val="00055F72"/>
    <w:rsid w:val="000722B1"/>
    <w:rsid w:val="00083487"/>
    <w:rsid w:val="000E6251"/>
    <w:rsid w:val="000F25D1"/>
    <w:rsid w:val="000F3EED"/>
    <w:rsid w:val="00136C00"/>
    <w:rsid w:val="00144705"/>
    <w:rsid w:val="00156068"/>
    <w:rsid w:val="001612F5"/>
    <w:rsid w:val="00167D11"/>
    <w:rsid w:val="0017516D"/>
    <w:rsid w:val="00176F1C"/>
    <w:rsid w:val="00186A68"/>
    <w:rsid w:val="00191E7F"/>
    <w:rsid w:val="00194A73"/>
    <w:rsid w:val="001B74CD"/>
    <w:rsid w:val="001D0048"/>
    <w:rsid w:val="001F2747"/>
    <w:rsid w:val="00200B97"/>
    <w:rsid w:val="002041EF"/>
    <w:rsid w:val="0021507A"/>
    <w:rsid w:val="002201AC"/>
    <w:rsid w:val="002241F0"/>
    <w:rsid w:val="00265E1D"/>
    <w:rsid w:val="002B4105"/>
    <w:rsid w:val="002D0AA3"/>
    <w:rsid w:val="002D3F35"/>
    <w:rsid w:val="002F44C5"/>
    <w:rsid w:val="002F6FE5"/>
    <w:rsid w:val="00345ECC"/>
    <w:rsid w:val="00357985"/>
    <w:rsid w:val="0037442F"/>
    <w:rsid w:val="003771C8"/>
    <w:rsid w:val="0037769A"/>
    <w:rsid w:val="00382035"/>
    <w:rsid w:val="003A1F97"/>
    <w:rsid w:val="003B6493"/>
    <w:rsid w:val="003E378B"/>
    <w:rsid w:val="003F4CA3"/>
    <w:rsid w:val="00400D46"/>
    <w:rsid w:val="0041641D"/>
    <w:rsid w:val="0042016D"/>
    <w:rsid w:val="004222E3"/>
    <w:rsid w:val="0043128E"/>
    <w:rsid w:val="004519D5"/>
    <w:rsid w:val="004549E3"/>
    <w:rsid w:val="00461EFB"/>
    <w:rsid w:val="00465817"/>
    <w:rsid w:val="0047045A"/>
    <w:rsid w:val="00471D9C"/>
    <w:rsid w:val="004801CC"/>
    <w:rsid w:val="004B070F"/>
    <w:rsid w:val="004B684F"/>
    <w:rsid w:val="004B7858"/>
    <w:rsid w:val="004D13A5"/>
    <w:rsid w:val="004D2D48"/>
    <w:rsid w:val="004E2473"/>
    <w:rsid w:val="005103AC"/>
    <w:rsid w:val="005145DF"/>
    <w:rsid w:val="00520CCC"/>
    <w:rsid w:val="00522A6B"/>
    <w:rsid w:val="00540535"/>
    <w:rsid w:val="005418BF"/>
    <w:rsid w:val="005739F2"/>
    <w:rsid w:val="00591E92"/>
    <w:rsid w:val="00592B8A"/>
    <w:rsid w:val="005A34A9"/>
    <w:rsid w:val="005D64F4"/>
    <w:rsid w:val="005E1A27"/>
    <w:rsid w:val="00626C8E"/>
    <w:rsid w:val="00636265"/>
    <w:rsid w:val="006369C0"/>
    <w:rsid w:val="00644861"/>
    <w:rsid w:val="006740CA"/>
    <w:rsid w:val="006770E3"/>
    <w:rsid w:val="006B398F"/>
    <w:rsid w:val="006B3AC5"/>
    <w:rsid w:val="006C5A77"/>
    <w:rsid w:val="007247F1"/>
    <w:rsid w:val="0073654F"/>
    <w:rsid w:val="007700A5"/>
    <w:rsid w:val="00772519"/>
    <w:rsid w:val="00784948"/>
    <w:rsid w:val="007A0C7D"/>
    <w:rsid w:val="007C24D2"/>
    <w:rsid w:val="007C4E20"/>
    <w:rsid w:val="007C5540"/>
    <w:rsid w:val="007C6A8C"/>
    <w:rsid w:val="007F1224"/>
    <w:rsid w:val="00816381"/>
    <w:rsid w:val="00820860"/>
    <w:rsid w:val="00832B74"/>
    <w:rsid w:val="00834DD0"/>
    <w:rsid w:val="0085153B"/>
    <w:rsid w:val="00863038"/>
    <w:rsid w:val="008733FB"/>
    <w:rsid w:val="008C4D3A"/>
    <w:rsid w:val="008D4AD9"/>
    <w:rsid w:val="008E2450"/>
    <w:rsid w:val="00911460"/>
    <w:rsid w:val="00947EC7"/>
    <w:rsid w:val="009504EC"/>
    <w:rsid w:val="00965801"/>
    <w:rsid w:val="00965963"/>
    <w:rsid w:val="0098520A"/>
    <w:rsid w:val="009B6455"/>
    <w:rsid w:val="009D1318"/>
    <w:rsid w:val="009D71A7"/>
    <w:rsid w:val="00A1029D"/>
    <w:rsid w:val="00A326E7"/>
    <w:rsid w:val="00A46100"/>
    <w:rsid w:val="00A47880"/>
    <w:rsid w:val="00A61B30"/>
    <w:rsid w:val="00A7297B"/>
    <w:rsid w:val="00AA5BEB"/>
    <w:rsid w:val="00AB37E5"/>
    <w:rsid w:val="00AC3C67"/>
    <w:rsid w:val="00AC7284"/>
    <w:rsid w:val="00AD1BD6"/>
    <w:rsid w:val="00AD65C1"/>
    <w:rsid w:val="00AD6E8F"/>
    <w:rsid w:val="00AE2AF2"/>
    <w:rsid w:val="00AE5B09"/>
    <w:rsid w:val="00AF4DBA"/>
    <w:rsid w:val="00B01048"/>
    <w:rsid w:val="00B42EF8"/>
    <w:rsid w:val="00B56CF1"/>
    <w:rsid w:val="00B63F87"/>
    <w:rsid w:val="00B65EB3"/>
    <w:rsid w:val="00B95278"/>
    <w:rsid w:val="00BA3BE0"/>
    <w:rsid w:val="00BB1320"/>
    <w:rsid w:val="00BD2E5F"/>
    <w:rsid w:val="00BE08FC"/>
    <w:rsid w:val="00BF12EC"/>
    <w:rsid w:val="00BF275C"/>
    <w:rsid w:val="00C05C39"/>
    <w:rsid w:val="00C1254F"/>
    <w:rsid w:val="00C7764F"/>
    <w:rsid w:val="00C86AC4"/>
    <w:rsid w:val="00C93D8B"/>
    <w:rsid w:val="00CE1984"/>
    <w:rsid w:val="00CE5260"/>
    <w:rsid w:val="00CE6956"/>
    <w:rsid w:val="00CF3C6A"/>
    <w:rsid w:val="00D50207"/>
    <w:rsid w:val="00D5379D"/>
    <w:rsid w:val="00D64013"/>
    <w:rsid w:val="00D76096"/>
    <w:rsid w:val="00DA3693"/>
    <w:rsid w:val="00DA713E"/>
    <w:rsid w:val="00DB4ECC"/>
    <w:rsid w:val="00DB767A"/>
    <w:rsid w:val="00DE700B"/>
    <w:rsid w:val="00DF3B4C"/>
    <w:rsid w:val="00E22AC0"/>
    <w:rsid w:val="00E2770B"/>
    <w:rsid w:val="00E3612D"/>
    <w:rsid w:val="00E41F2E"/>
    <w:rsid w:val="00E52614"/>
    <w:rsid w:val="00E562BD"/>
    <w:rsid w:val="00E90782"/>
    <w:rsid w:val="00EB69C5"/>
    <w:rsid w:val="00ED3425"/>
    <w:rsid w:val="00EE529C"/>
    <w:rsid w:val="00F04DF2"/>
    <w:rsid w:val="00F20199"/>
    <w:rsid w:val="00F23ED6"/>
    <w:rsid w:val="00F25513"/>
    <w:rsid w:val="00F33865"/>
    <w:rsid w:val="00F35FAC"/>
    <w:rsid w:val="00F45EA0"/>
    <w:rsid w:val="00F50059"/>
    <w:rsid w:val="00F6271A"/>
    <w:rsid w:val="00F80C7F"/>
    <w:rsid w:val="00F96D62"/>
    <w:rsid w:val="00FB561C"/>
    <w:rsid w:val="00FD1BC1"/>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D5F0"/>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DF"/>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styleId="UnresolvedMention">
    <w:name w:val="Unresolved Mention"/>
    <w:basedOn w:val="DefaultParagraphFont"/>
    <w:uiPriority w:val="99"/>
    <w:semiHidden/>
    <w:unhideWhenUsed/>
    <w:rsid w:val="002D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9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0A9E-9A0D-437F-8C2A-CE752F1B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UTC Project Information | Characterization of the Plant-Based Bio-Asphalt Binder and Bio-Additives</vt:lpstr>
    </vt:vector>
  </TitlesOfParts>
  <Company>DOT</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Characterization of the Plant-Based Bio-Asphalt Binder and Bio-Additives</dc:title>
  <dc:creator/>
  <cp:lastModifiedBy>Nichols, Patrick</cp:lastModifiedBy>
  <cp:revision>21</cp:revision>
  <cp:lastPrinted>2024-10-31T20:19:00Z</cp:lastPrinted>
  <dcterms:created xsi:type="dcterms:W3CDTF">2018-08-02T17:49:00Z</dcterms:created>
  <dcterms:modified xsi:type="dcterms:W3CDTF">2024-10-31T20:19:00Z</dcterms:modified>
</cp:coreProperties>
</file>