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685"/>
        <w:gridCol w:w="6390"/>
      </w:tblGrid>
      <w:tr w:rsidR="006369C0" w:rsidRPr="004B070F" w:rsidTr="007247F1">
        <w:trPr>
          <w:jc w:val="center"/>
        </w:trPr>
        <w:tc>
          <w:tcPr>
            <w:tcW w:w="10075" w:type="dxa"/>
            <w:gridSpan w:val="2"/>
          </w:tcPr>
          <w:p w:rsidR="006369C0" w:rsidRPr="004B070F" w:rsidRDefault="006369C0">
            <w:pPr>
              <w:rPr>
                <w:rFonts w:ascii="Times New Roman" w:hAnsi="Times New Roman" w:cs="Times New Roman"/>
                <w:b/>
                <w:sz w:val="28"/>
                <w:szCs w:val="28"/>
              </w:rPr>
            </w:pPr>
            <w:r w:rsidRPr="004B070F">
              <w:rPr>
                <w:rFonts w:ascii="Times New Roman" w:hAnsi="Times New Roman" w:cs="Times New Roman"/>
                <w:b/>
                <w:sz w:val="28"/>
                <w:szCs w:val="28"/>
              </w:rPr>
              <w:t>UTC  Project  Information</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Pr>
                <w:rFonts w:ascii="Times New Roman" w:hAnsi="Times New Roman" w:cs="Times New Roman"/>
              </w:rPr>
              <w:t>Project Title</w:t>
            </w:r>
          </w:p>
        </w:tc>
        <w:tc>
          <w:tcPr>
            <w:tcW w:w="6390" w:type="dxa"/>
          </w:tcPr>
          <w:p w:rsidR="006369C0" w:rsidRPr="004B7858" w:rsidRDefault="0001290E" w:rsidP="00A61223">
            <w:pPr>
              <w:jc w:val="both"/>
              <w:rPr>
                <w:rFonts w:ascii="Times New Roman" w:hAnsi="Times New Roman" w:cs="Times New Roman"/>
                <w:szCs w:val="24"/>
              </w:rPr>
            </w:pPr>
            <w:r>
              <w:rPr>
                <w:rFonts w:ascii="Times New Roman" w:hAnsi="Times New Roman" w:cs="Times New Roman"/>
                <w:noProof/>
                <w:szCs w:val="24"/>
              </w:rPr>
              <w:t>MPC-5</w:t>
            </w:r>
            <w:r w:rsidR="006369C0" w:rsidRPr="00432B0E">
              <w:rPr>
                <w:rFonts w:ascii="Times New Roman" w:hAnsi="Times New Roman" w:cs="Times New Roman"/>
                <w:noProof/>
                <w:szCs w:val="24"/>
              </w:rPr>
              <w:t>7</w:t>
            </w:r>
            <w:r w:rsidR="00A61223">
              <w:rPr>
                <w:rFonts w:ascii="Times New Roman" w:hAnsi="Times New Roman" w:cs="Times New Roman"/>
                <w:noProof/>
                <w:szCs w:val="24"/>
              </w:rPr>
              <w:t>8</w:t>
            </w:r>
            <w:r w:rsidR="006369C0">
              <w:rPr>
                <w:rFonts w:ascii="Times New Roman" w:hAnsi="Times New Roman" w:cs="Times New Roman"/>
                <w:szCs w:val="24"/>
              </w:rPr>
              <w:t xml:space="preserve"> – </w:t>
            </w:r>
            <w:r w:rsidR="00A61223" w:rsidRPr="00A61223">
              <w:rPr>
                <w:rFonts w:ascii="Times New Roman" w:hAnsi="Times New Roman" w:cs="Times New Roman"/>
                <w:szCs w:val="24"/>
              </w:rPr>
              <w:t>Integrated Strategic and Operational Planning for a Fast-Charging Battery Electric Bus System</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Pr>
                <w:rFonts w:ascii="Times New Roman" w:hAnsi="Times New Roman" w:cs="Times New Roman"/>
              </w:rPr>
              <w:t>University</w:t>
            </w:r>
          </w:p>
        </w:tc>
        <w:tc>
          <w:tcPr>
            <w:tcW w:w="6390" w:type="dxa"/>
          </w:tcPr>
          <w:p w:rsidR="006369C0" w:rsidRPr="004B7858" w:rsidRDefault="00420A9E" w:rsidP="00C1254F">
            <w:pPr>
              <w:jc w:val="both"/>
              <w:rPr>
                <w:rFonts w:ascii="Times New Roman" w:eastAsia="Calibri" w:hAnsi="Times New Roman" w:cs="Times New Roman"/>
                <w:szCs w:val="24"/>
              </w:rPr>
            </w:pPr>
            <w:r w:rsidRPr="00420A9E">
              <w:rPr>
                <w:rFonts w:ascii="Times New Roman" w:eastAsia="Calibri" w:hAnsi="Times New Roman" w:cs="Times New Roman"/>
                <w:szCs w:val="24"/>
              </w:rPr>
              <w:t>Utah State University</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390" w:type="dxa"/>
          </w:tcPr>
          <w:p w:rsidR="00692D86" w:rsidRPr="004B7858" w:rsidRDefault="00A06B49" w:rsidP="007247F1">
            <w:pPr>
              <w:autoSpaceDE w:val="0"/>
              <w:autoSpaceDN w:val="0"/>
              <w:adjustRightInd w:val="0"/>
              <w:rPr>
                <w:rFonts w:ascii="Times New Roman" w:eastAsia="Times New Roman" w:hAnsi="Times New Roman" w:cs="Times New Roman"/>
                <w:color w:val="000000"/>
                <w:szCs w:val="24"/>
              </w:rPr>
            </w:pPr>
            <w:r w:rsidRPr="00A06B49">
              <w:rPr>
                <w:rFonts w:ascii="Times New Roman" w:hAnsi="Times New Roman" w:cs="Times New Roman"/>
                <w:noProof/>
                <w:szCs w:val="24"/>
              </w:rPr>
              <w:t>Ziqi Song, Ph.D.</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390" w:type="dxa"/>
          </w:tcPr>
          <w:p w:rsidR="009D61B8" w:rsidRPr="009D61B8" w:rsidRDefault="009D61B8" w:rsidP="009D61B8">
            <w:pPr>
              <w:rPr>
                <w:rFonts w:ascii="Times New Roman" w:hAnsi="Times New Roman" w:cs="Times New Roman"/>
                <w:noProof/>
                <w:szCs w:val="24"/>
              </w:rPr>
            </w:pPr>
            <w:r w:rsidRPr="009D61B8">
              <w:rPr>
                <w:rFonts w:ascii="Times New Roman" w:hAnsi="Times New Roman" w:cs="Times New Roman"/>
                <w:noProof/>
                <w:szCs w:val="24"/>
              </w:rPr>
              <w:t>Assistant Professor</w:t>
            </w:r>
          </w:p>
          <w:p w:rsidR="009D61B8" w:rsidRPr="009D61B8" w:rsidRDefault="009D61B8" w:rsidP="009D61B8">
            <w:pPr>
              <w:rPr>
                <w:rFonts w:ascii="Times New Roman" w:hAnsi="Times New Roman" w:cs="Times New Roman"/>
                <w:noProof/>
                <w:szCs w:val="24"/>
              </w:rPr>
            </w:pPr>
            <w:r w:rsidRPr="009D61B8">
              <w:rPr>
                <w:rFonts w:ascii="Times New Roman" w:hAnsi="Times New Roman" w:cs="Times New Roman"/>
                <w:noProof/>
                <w:szCs w:val="24"/>
              </w:rPr>
              <w:t>Civil &amp; Environmental Engineering</w:t>
            </w:r>
          </w:p>
          <w:p w:rsidR="009D61B8" w:rsidRPr="009D61B8" w:rsidRDefault="009D61B8" w:rsidP="009D61B8">
            <w:pPr>
              <w:rPr>
                <w:rFonts w:ascii="Times New Roman" w:hAnsi="Times New Roman" w:cs="Times New Roman"/>
                <w:noProof/>
                <w:szCs w:val="24"/>
              </w:rPr>
            </w:pPr>
            <w:r w:rsidRPr="009D61B8">
              <w:rPr>
                <w:rFonts w:ascii="Times New Roman" w:hAnsi="Times New Roman" w:cs="Times New Roman"/>
                <w:noProof/>
                <w:szCs w:val="24"/>
              </w:rPr>
              <w:t>Utah State University</w:t>
            </w:r>
          </w:p>
          <w:p w:rsidR="009D61B8" w:rsidRPr="009D61B8" w:rsidRDefault="009D61B8" w:rsidP="009D61B8">
            <w:pPr>
              <w:rPr>
                <w:rFonts w:ascii="Times New Roman" w:hAnsi="Times New Roman" w:cs="Times New Roman"/>
                <w:noProof/>
                <w:szCs w:val="24"/>
              </w:rPr>
            </w:pPr>
            <w:r w:rsidRPr="009D61B8">
              <w:rPr>
                <w:rFonts w:ascii="Times New Roman" w:hAnsi="Times New Roman" w:cs="Times New Roman"/>
                <w:noProof/>
                <w:szCs w:val="24"/>
              </w:rPr>
              <w:t>Phone: (435) 797-9083</w:t>
            </w:r>
          </w:p>
          <w:p w:rsidR="009D61B8" w:rsidRPr="009D61B8" w:rsidRDefault="009D61B8" w:rsidP="009D61B8">
            <w:pPr>
              <w:rPr>
                <w:rFonts w:ascii="Times New Roman" w:hAnsi="Times New Roman" w:cs="Times New Roman"/>
                <w:noProof/>
                <w:szCs w:val="24"/>
              </w:rPr>
            </w:pPr>
            <w:r w:rsidRPr="009D61B8">
              <w:rPr>
                <w:rFonts w:ascii="Times New Roman" w:hAnsi="Times New Roman" w:cs="Times New Roman"/>
                <w:noProof/>
                <w:szCs w:val="24"/>
              </w:rPr>
              <w:t>Email: ziqi.song@usu.edu</w:t>
            </w:r>
          </w:p>
          <w:p w:rsidR="006369C0" w:rsidRDefault="009D61B8" w:rsidP="009D61B8">
            <w:pPr>
              <w:rPr>
                <w:rFonts w:ascii="Times New Roman" w:hAnsi="Times New Roman" w:cs="Times New Roman"/>
                <w:noProof/>
                <w:szCs w:val="24"/>
              </w:rPr>
            </w:pPr>
            <w:r w:rsidRPr="009D61B8">
              <w:rPr>
                <w:rFonts w:ascii="Times New Roman" w:hAnsi="Times New Roman" w:cs="Times New Roman"/>
                <w:noProof/>
                <w:szCs w:val="24"/>
              </w:rPr>
              <w:t>ORCID: 0000-0002-9693-3256</w:t>
            </w:r>
          </w:p>
        </w:tc>
      </w:tr>
      <w:tr w:rsidR="006369C0" w:rsidRPr="004B070F" w:rsidTr="007247F1">
        <w:trPr>
          <w:jc w:val="center"/>
        </w:trPr>
        <w:tc>
          <w:tcPr>
            <w:tcW w:w="368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390" w:type="dxa"/>
          </w:tcPr>
          <w:p w:rsidR="006369C0" w:rsidRDefault="006369C0">
            <w:pPr>
              <w:rPr>
                <w:rFonts w:ascii="Times New Roman" w:hAnsi="Times New Roman" w:cs="Times New Roman"/>
              </w:rPr>
            </w:pPr>
            <w:r w:rsidRPr="00432B0E">
              <w:rPr>
                <w:rFonts w:ascii="Times New Roman" w:hAnsi="Times New Roman" w:cs="Times New Roman"/>
                <w:noProof/>
              </w:rPr>
              <w:t>USDOT, Research and Innovative Technology Administration</w:t>
            </w:r>
          </w:p>
          <w:p w:rsidR="006369C0" w:rsidRDefault="007E3202">
            <w:pPr>
              <w:rPr>
                <w:rFonts w:ascii="Times New Roman" w:hAnsi="Times New Roman" w:cs="Times New Roman"/>
              </w:rPr>
            </w:pPr>
            <w:r>
              <w:rPr>
                <w:rFonts w:ascii="Times New Roman" w:hAnsi="Times New Roman" w:cs="Times New Roman"/>
              </w:rPr>
              <w:t>$</w:t>
            </w:r>
            <w:r w:rsidR="00E4047F">
              <w:rPr>
                <w:rFonts w:ascii="Times New Roman" w:hAnsi="Times New Roman" w:cs="Times New Roman"/>
              </w:rPr>
              <w:t>50</w:t>
            </w:r>
            <w:r>
              <w:rPr>
                <w:rFonts w:ascii="Times New Roman" w:hAnsi="Times New Roman" w:cs="Times New Roman"/>
              </w:rPr>
              <w:t>,</w:t>
            </w:r>
            <w:r w:rsidR="00E4047F">
              <w:rPr>
                <w:rFonts w:ascii="Times New Roman" w:hAnsi="Times New Roman" w:cs="Times New Roman"/>
              </w:rPr>
              <w:t>000</w:t>
            </w:r>
          </w:p>
          <w:p w:rsidR="006369C0" w:rsidRDefault="006369C0">
            <w:pPr>
              <w:rPr>
                <w:rFonts w:ascii="Times New Roman" w:hAnsi="Times New Roman" w:cs="Times New Roman"/>
              </w:rPr>
            </w:pPr>
          </w:p>
          <w:p w:rsidR="006369C0" w:rsidRDefault="007E3202">
            <w:pPr>
              <w:rPr>
                <w:rFonts w:ascii="Times New Roman" w:hAnsi="Times New Roman" w:cs="Times New Roman"/>
              </w:rPr>
            </w:pPr>
            <w:r>
              <w:rPr>
                <w:rFonts w:ascii="Times New Roman" w:hAnsi="Times New Roman" w:cs="Times New Roman"/>
              </w:rPr>
              <w:t>LTAP</w:t>
            </w:r>
          </w:p>
          <w:p w:rsidR="006369C0" w:rsidRPr="004B070F" w:rsidRDefault="00E4047F" w:rsidP="009B1A05">
            <w:pPr>
              <w:rPr>
                <w:rFonts w:ascii="Times New Roman" w:hAnsi="Times New Roman" w:cs="Times New Roman"/>
              </w:rPr>
            </w:pPr>
            <w:r>
              <w:rPr>
                <w:rFonts w:ascii="Times New Roman" w:hAnsi="Times New Roman" w:cs="Times New Roman"/>
              </w:rPr>
              <w:t>$50,000</w:t>
            </w:r>
          </w:p>
        </w:tc>
      </w:tr>
      <w:tr w:rsidR="006369C0" w:rsidRPr="004B070F" w:rsidTr="007247F1">
        <w:trPr>
          <w:jc w:val="center"/>
        </w:trPr>
        <w:tc>
          <w:tcPr>
            <w:tcW w:w="3685" w:type="dxa"/>
          </w:tcPr>
          <w:p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390" w:type="dxa"/>
          </w:tcPr>
          <w:p w:rsidR="006369C0" w:rsidRDefault="00E3612D" w:rsidP="00141F21">
            <w:pPr>
              <w:rPr>
                <w:rFonts w:ascii="Times New Roman" w:hAnsi="Times New Roman" w:cs="Times New Roman"/>
              </w:rPr>
            </w:pPr>
            <w:r w:rsidRPr="00E3612D">
              <w:rPr>
                <w:rFonts w:ascii="Times New Roman" w:eastAsia="Times New Roman" w:hAnsi="Times New Roman" w:cs="Times New Roman"/>
                <w:noProof/>
                <w:color w:val="000000"/>
                <w:szCs w:val="24"/>
              </w:rPr>
              <w:t>$</w:t>
            </w:r>
            <w:r w:rsidR="00141F21">
              <w:rPr>
                <w:rFonts w:ascii="Times New Roman" w:eastAsia="Times New Roman" w:hAnsi="Times New Roman" w:cs="Times New Roman"/>
                <w:noProof/>
                <w:color w:val="000000"/>
                <w:szCs w:val="24"/>
              </w:rPr>
              <w:t>100</w:t>
            </w:r>
            <w:r w:rsidR="00A35353">
              <w:rPr>
                <w:rFonts w:ascii="Times New Roman" w:eastAsia="Times New Roman" w:hAnsi="Times New Roman" w:cs="Times New Roman"/>
                <w:noProof/>
                <w:color w:val="000000"/>
                <w:szCs w:val="24"/>
              </w:rPr>
              <w:t>,</w:t>
            </w:r>
            <w:r w:rsidR="00141F21">
              <w:rPr>
                <w:rFonts w:ascii="Times New Roman" w:eastAsia="Times New Roman" w:hAnsi="Times New Roman" w:cs="Times New Roman"/>
                <w:noProof/>
                <w:color w:val="000000"/>
                <w:szCs w:val="24"/>
              </w:rPr>
              <w:t>000</w:t>
            </w:r>
          </w:p>
        </w:tc>
      </w:tr>
      <w:tr w:rsidR="006369C0" w:rsidRPr="004B070F" w:rsidTr="007247F1">
        <w:trPr>
          <w:jc w:val="center"/>
        </w:trPr>
        <w:tc>
          <w:tcPr>
            <w:tcW w:w="368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390" w:type="dxa"/>
          </w:tcPr>
          <w:p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rsidTr="007247F1">
        <w:trPr>
          <w:jc w:val="center"/>
        </w:trPr>
        <w:tc>
          <w:tcPr>
            <w:tcW w:w="3685" w:type="dxa"/>
          </w:tcPr>
          <w:p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390" w:type="dxa"/>
          </w:tcPr>
          <w:p w:rsidR="006369C0" w:rsidRPr="004B070F" w:rsidRDefault="0079432C" w:rsidP="00485BE3">
            <w:pPr>
              <w:rPr>
                <w:rFonts w:ascii="Times New Roman" w:hAnsi="Times New Roman" w:cs="Times New Roman"/>
                <w:highlight w:val="yellow"/>
              </w:rPr>
            </w:pPr>
            <w:r>
              <w:rPr>
                <w:rFonts w:ascii="Times New Roman" w:hAnsi="Times New Roman" w:cs="Times New Roman"/>
                <w:noProof/>
              </w:rPr>
              <w:t>October</w:t>
            </w:r>
            <w:r w:rsidR="006369C0" w:rsidRPr="00432B0E">
              <w:rPr>
                <w:rFonts w:ascii="Times New Roman" w:hAnsi="Times New Roman" w:cs="Times New Roman"/>
                <w:noProof/>
              </w:rPr>
              <w:t xml:space="preserve"> </w:t>
            </w:r>
            <w:r w:rsidR="00485BE3">
              <w:rPr>
                <w:rFonts w:ascii="Times New Roman" w:hAnsi="Times New Roman" w:cs="Times New Roman"/>
                <w:noProof/>
              </w:rPr>
              <w:t>1</w:t>
            </w:r>
            <w:r>
              <w:rPr>
                <w:rFonts w:ascii="Times New Roman" w:hAnsi="Times New Roman" w:cs="Times New Roman"/>
                <w:noProof/>
              </w:rPr>
              <w:t>8</w:t>
            </w:r>
            <w:r w:rsidR="006369C0" w:rsidRPr="00432B0E">
              <w:rPr>
                <w:rFonts w:ascii="Times New Roman" w:hAnsi="Times New Roman" w:cs="Times New Roman"/>
                <w:noProof/>
              </w:rPr>
              <w:t>, 2018 to July 31, 2022</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390" w:type="dxa"/>
          </w:tcPr>
          <w:p w:rsidR="00853B68" w:rsidRPr="00853B68" w:rsidRDefault="00853B68" w:rsidP="00853B68">
            <w:pPr>
              <w:jc w:val="both"/>
              <w:rPr>
                <w:rFonts w:ascii="Times New Roman" w:hAnsi="Times New Roman" w:cs="Times New Roman"/>
                <w:noProof/>
                <w:szCs w:val="24"/>
              </w:rPr>
            </w:pPr>
            <w:r w:rsidRPr="00853B68">
              <w:rPr>
                <w:rFonts w:ascii="Times New Roman" w:hAnsi="Times New Roman" w:cs="Times New Roman"/>
                <w:noProof/>
                <w:szCs w:val="24"/>
              </w:rPr>
              <w:t>As an integral part of a multimodal transportation ecosystem, the public bus system provides an economical and sustainable travel mode that plays a key role in reducing traffic congestion and exhaust emissions. Conventional bus fleets, however, are mainly powered by diesel engines characterized by low energy efficiency, exhaust emissions, and oil dependence. Compared to diesel buses, BEBs have several advantages, including higher energy efficiency, zero tailpipe emissions, improved reliability, a lower maintenance burden, and the capability for using renewable energy sources, such as wind, solar, and water energies. Moreover, BEBs are easier to deploy and more flexible in thei</w:t>
            </w:r>
            <w:r>
              <w:rPr>
                <w:rFonts w:ascii="Times New Roman" w:hAnsi="Times New Roman" w:cs="Times New Roman"/>
                <w:noProof/>
                <w:szCs w:val="24"/>
              </w:rPr>
              <w:t>r operation than trolley buses.</w:t>
            </w:r>
          </w:p>
          <w:p w:rsidR="00853B68" w:rsidRDefault="00853B68" w:rsidP="00853B68">
            <w:pPr>
              <w:jc w:val="both"/>
              <w:rPr>
                <w:rFonts w:ascii="Times New Roman" w:hAnsi="Times New Roman" w:cs="Times New Roman"/>
                <w:noProof/>
                <w:szCs w:val="24"/>
              </w:rPr>
            </w:pPr>
          </w:p>
          <w:p w:rsidR="00853B68" w:rsidRPr="00853B68" w:rsidRDefault="00853B68" w:rsidP="00853B68">
            <w:pPr>
              <w:jc w:val="both"/>
              <w:rPr>
                <w:rFonts w:ascii="Times New Roman" w:hAnsi="Times New Roman" w:cs="Times New Roman"/>
                <w:noProof/>
                <w:szCs w:val="24"/>
              </w:rPr>
            </w:pPr>
            <w:r w:rsidRPr="00853B68">
              <w:rPr>
                <w:rFonts w:ascii="Times New Roman" w:hAnsi="Times New Roman" w:cs="Times New Roman"/>
                <w:noProof/>
                <w:szCs w:val="24"/>
              </w:rPr>
              <w:t>Although BEBs have many advantages and have been adopted by a number of transit agencies, due to limitations in battery technology, they are disadvantaged by cumbersome and costly on-board batteries. Moreover, it takes very long time to recharge BEBs using either standard or slow-charging methods. The emerging fast-charging technology promises the potential to offset these drawbacks. With fast-charging technology, a BEB with a modest battery capacity can utilize the dwelling times between trips to quickly recharge its battery and maintain continuous operation. Fast-charging technology has been adopted by many BEB demonstration projects, and prom</w:t>
            </w:r>
            <w:r>
              <w:rPr>
                <w:rFonts w:ascii="Times New Roman" w:hAnsi="Times New Roman" w:cs="Times New Roman"/>
                <w:noProof/>
                <w:szCs w:val="24"/>
              </w:rPr>
              <w:t>ising results have been report.</w:t>
            </w:r>
          </w:p>
          <w:p w:rsidR="00853B68" w:rsidRPr="00853B68" w:rsidRDefault="00853B68" w:rsidP="00853B68">
            <w:pPr>
              <w:jc w:val="both"/>
              <w:rPr>
                <w:rFonts w:ascii="Times New Roman" w:hAnsi="Times New Roman" w:cs="Times New Roman"/>
                <w:noProof/>
                <w:szCs w:val="24"/>
              </w:rPr>
            </w:pPr>
          </w:p>
          <w:p w:rsidR="006369C0" w:rsidRPr="004B7858" w:rsidRDefault="00853B68" w:rsidP="00853B68">
            <w:pPr>
              <w:jc w:val="both"/>
              <w:rPr>
                <w:rFonts w:ascii="Times New Roman" w:hAnsi="Times New Roman" w:cs="Times New Roman"/>
                <w:noProof/>
                <w:szCs w:val="24"/>
              </w:rPr>
            </w:pPr>
            <w:r w:rsidRPr="00853B68">
              <w:rPr>
                <w:rFonts w:ascii="Times New Roman" w:hAnsi="Times New Roman" w:cs="Times New Roman"/>
                <w:noProof/>
                <w:szCs w:val="24"/>
              </w:rPr>
              <w:t xml:space="preserve">In this project, we simultaneously consider and optimize the battery and charger configurations of a fast-charging BEB system, as well as </w:t>
            </w:r>
            <w:r w:rsidRPr="00853B68">
              <w:rPr>
                <w:rFonts w:ascii="Times New Roman" w:hAnsi="Times New Roman" w:cs="Times New Roman"/>
                <w:noProof/>
                <w:szCs w:val="24"/>
              </w:rPr>
              <w:lastRenderedPageBreak/>
              <w:t>its recharging scheduling during operation. We also explicitly consider the demand charges of high-power recharging activities of BEBs.</w:t>
            </w:r>
            <w:bookmarkStart w:id="0" w:name="_GoBack"/>
            <w:bookmarkEnd w:id="0"/>
          </w:p>
        </w:tc>
      </w:tr>
      <w:tr w:rsidR="006369C0" w:rsidRPr="004B070F" w:rsidTr="00D74215">
        <w:trPr>
          <w:trHeight w:val="1034"/>
          <w:jc w:val="center"/>
        </w:trPr>
        <w:tc>
          <w:tcPr>
            <w:tcW w:w="3685" w:type="dxa"/>
          </w:tcPr>
          <w:p w:rsidR="006369C0" w:rsidRPr="004B070F" w:rsidRDefault="006369C0">
            <w:pPr>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rsidR="006369C0" w:rsidRPr="004B070F" w:rsidRDefault="006369C0">
            <w:pPr>
              <w:rPr>
                <w:rFonts w:ascii="Times New Roman" w:hAnsi="Times New Roman" w:cs="Times New Roman"/>
              </w:rPr>
            </w:pPr>
          </w:p>
          <w:p w:rsidR="006369C0" w:rsidRPr="004B070F" w:rsidRDefault="006369C0">
            <w:pPr>
              <w:rPr>
                <w:rFonts w:ascii="Times New Roman" w:hAnsi="Times New Roman" w:cs="Times New Roman"/>
              </w:rPr>
            </w:pPr>
            <w:r w:rsidRPr="004B070F">
              <w:rPr>
                <w:rFonts w:ascii="Times New Roman" w:hAnsi="Times New Roman" w:cs="Times New Roman"/>
              </w:rPr>
              <w:t>Place Any Photos Here</w:t>
            </w:r>
          </w:p>
        </w:tc>
        <w:tc>
          <w:tcPr>
            <w:tcW w:w="6390" w:type="dxa"/>
          </w:tcPr>
          <w:p w:rsidR="006369C0" w:rsidRPr="004B070F" w:rsidRDefault="006369C0" w:rsidP="00832B74">
            <w:pPr>
              <w:jc w:val="both"/>
            </w:pPr>
          </w:p>
        </w:tc>
      </w:tr>
      <w:tr w:rsidR="006369C0" w:rsidRPr="004B070F" w:rsidTr="00D74215">
        <w:trPr>
          <w:trHeight w:val="395"/>
          <w:jc w:val="center"/>
        </w:trPr>
        <w:tc>
          <w:tcPr>
            <w:tcW w:w="3685" w:type="dxa"/>
          </w:tcPr>
          <w:p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rsidR="006369C0" w:rsidRPr="004B070F" w:rsidRDefault="006369C0">
            <w:pPr>
              <w:rPr>
                <w:rFonts w:ascii="Times New Roman" w:hAnsi="Times New Roman" w:cs="Times New Roman"/>
              </w:rPr>
            </w:pPr>
            <w:r>
              <w:rPr>
                <w:rFonts w:ascii="Times New Roman" w:hAnsi="Times New Roman" w:cs="Times New Roman"/>
              </w:rPr>
              <w:t>(actual, not anticipated)</w:t>
            </w:r>
          </w:p>
        </w:tc>
        <w:tc>
          <w:tcPr>
            <w:tcW w:w="6390" w:type="dxa"/>
          </w:tcPr>
          <w:p w:rsidR="006369C0" w:rsidRPr="004B070F" w:rsidRDefault="006369C0" w:rsidP="00465817">
            <w:pPr>
              <w:rPr>
                <w:rFonts w:ascii="Times New Roman" w:hAnsi="Times New Roman" w:cs="Times New Roman"/>
              </w:rPr>
            </w:pP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sidRPr="004B070F">
              <w:rPr>
                <w:rFonts w:ascii="Times New Roman" w:hAnsi="Times New Roman" w:cs="Times New Roman"/>
              </w:rPr>
              <w:t>Web Links</w:t>
            </w:r>
          </w:p>
          <w:p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390" w:type="dxa"/>
          </w:tcPr>
          <w:p w:rsidR="006369C0" w:rsidRPr="004B070F" w:rsidRDefault="006369C0">
            <w:pPr>
              <w:rPr>
                <w:rFonts w:ascii="Times New Roman" w:hAnsi="Times New Roman" w:cs="Times New Roman"/>
              </w:rPr>
            </w:pPr>
          </w:p>
        </w:tc>
      </w:tr>
    </w:tbl>
    <w:p w:rsidR="006369C0" w:rsidRPr="00F25513" w:rsidRDefault="006369C0">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1290E"/>
    <w:rsid w:val="00036F2D"/>
    <w:rsid w:val="000373A9"/>
    <w:rsid w:val="000502B3"/>
    <w:rsid w:val="000505B4"/>
    <w:rsid w:val="0005162D"/>
    <w:rsid w:val="000554DF"/>
    <w:rsid w:val="00055F72"/>
    <w:rsid w:val="000722B1"/>
    <w:rsid w:val="00083487"/>
    <w:rsid w:val="000E6251"/>
    <w:rsid w:val="000F25D1"/>
    <w:rsid w:val="000F3EED"/>
    <w:rsid w:val="00141F21"/>
    <w:rsid w:val="00144705"/>
    <w:rsid w:val="00156068"/>
    <w:rsid w:val="001612F5"/>
    <w:rsid w:val="00167D11"/>
    <w:rsid w:val="0017516D"/>
    <w:rsid w:val="00176F1C"/>
    <w:rsid w:val="00191E7F"/>
    <w:rsid w:val="00194A73"/>
    <w:rsid w:val="001B74CD"/>
    <w:rsid w:val="001D0048"/>
    <w:rsid w:val="001F2747"/>
    <w:rsid w:val="00200B97"/>
    <w:rsid w:val="002041EF"/>
    <w:rsid w:val="0021507A"/>
    <w:rsid w:val="002201AC"/>
    <w:rsid w:val="002241F0"/>
    <w:rsid w:val="00250684"/>
    <w:rsid w:val="00265E1D"/>
    <w:rsid w:val="002B4105"/>
    <w:rsid w:val="002D0AA3"/>
    <w:rsid w:val="002F44C5"/>
    <w:rsid w:val="002F6FE5"/>
    <w:rsid w:val="00345ECC"/>
    <w:rsid w:val="00357985"/>
    <w:rsid w:val="003771C8"/>
    <w:rsid w:val="0037769A"/>
    <w:rsid w:val="00381A7C"/>
    <w:rsid w:val="00382035"/>
    <w:rsid w:val="003A1F97"/>
    <w:rsid w:val="003B6493"/>
    <w:rsid w:val="003E378B"/>
    <w:rsid w:val="003F4CA3"/>
    <w:rsid w:val="00400D46"/>
    <w:rsid w:val="0041641D"/>
    <w:rsid w:val="0042016D"/>
    <w:rsid w:val="00420A9E"/>
    <w:rsid w:val="004222E3"/>
    <w:rsid w:val="0043128E"/>
    <w:rsid w:val="004519D5"/>
    <w:rsid w:val="004549E3"/>
    <w:rsid w:val="00461EFB"/>
    <w:rsid w:val="00465817"/>
    <w:rsid w:val="00471D9C"/>
    <w:rsid w:val="004801CC"/>
    <w:rsid w:val="00485BE3"/>
    <w:rsid w:val="004B070F"/>
    <w:rsid w:val="004B684F"/>
    <w:rsid w:val="004B7858"/>
    <w:rsid w:val="004D13A5"/>
    <w:rsid w:val="004D2D48"/>
    <w:rsid w:val="004E2473"/>
    <w:rsid w:val="005103AC"/>
    <w:rsid w:val="00520CCC"/>
    <w:rsid w:val="00522A6B"/>
    <w:rsid w:val="005418BF"/>
    <w:rsid w:val="005739F2"/>
    <w:rsid w:val="00591E92"/>
    <w:rsid w:val="00592B8A"/>
    <w:rsid w:val="005A34A9"/>
    <w:rsid w:val="005D64F4"/>
    <w:rsid w:val="005E1A27"/>
    <w:rsid w:val="00626C8E"/>
    <w:rsid w:val="00636265"/>
    <w:rsid w:val="006369C0"/>
    <w:rsid w:val="00644861"/>
    <w:rsid w:val="006740CA"/>
    <w:rsid w:val="006770E3"/>
    <w:rsid w:val="00692D86"/>
    <w:rsid w:val="006B398F"/>
    <w:rsid w:val="006C5A77"/>
    <w:rsid w:val="007247F1"/>
    <w:rsid w:val="0073654F"/>
    <w:rsid w:val="007700A5"/>
    <w:rsid w:val="00772519"/>
    <w:rsid w:val="00784948"/>
    <w:rsid w:val="0079432C"/>
    <w:rsid w:val="007A0C7D"/>
    <w:rsid w:val="007C24D2"/>
    <w:rsid w:val="007C4E20"/>
    <w:rsid w:val="007C5540"/>
    <w:rsid w:val="007C6A8C"/>
    <w:rsid w:val="007E3202"/>
    <w:rsid w:val="007F1224"/>
    <w:rsid w:val="00820860"/>
    <w:rsid w:val="00832B74"/>
    <w:rsid w:val="00834DD0"/>
    <w:rsid w:val="0085153B"/>
    <w:rsid w:val="00853B68"/>
    <w:rsid w:val="00863038"/>
    <w:rsid w:val="008733FB"/>
    <w:rsid w:val="008C4D3A"/>
    <w:rsid w:val="008D4AD9"/>
    <w:rsid w:val="008E2450"/>
    <w:rsid w:val="00911460"/>
    <w:rsid w:val="00947EC7"/>
    <w:rsid w:val="009504EC"/>
    <w:rsid w:val="00965801"/>
    <w:rsid w:val="00965963"/>
    <w:rsid w:val="0098520A"/>
    <w:rsid w:val="009B1A05"/>
    <w:rsid w:val="009B6455"/>
    <w:rsid w:val="009D1318"/>
    <w:rsid w:val="009D61B8"/>
    <w:rsid w:val="009D71A7"/>
    <w:rsid w:val="00A06B49"/>
    <w:rsid w:val="00A1029D"/>
    <w:rsid w:val="00A22E07"/>
    <w:rsid w:val="00A326E7"/>
    <w:rsid w:val="00A35353"/>
    <w:rsid w:val="00A46100"/>
    <w:rsid w:val="00A47880"/>
    <w:rsid w:val="00A61223"/>
    <w:rsid w:val="00A61B30"/>
    <w:rsid w:val="00A7297B"/>
    <w:rsid w:val="00AA5BEB"/>
    <w:rsid w:val="00AB37E5"/>
    <w:rsid w:val="00AC3C67"/>
    <w:rsid w:val="00AC7284"/>
    <w:rsid w:val="00AD1BD6"/>
    <w:rsid w:val="00AD65C1"/>
    <w:rsid w:val="00AD6E8F"/>
    <w:rsid w:val="00AE2AF2"/>
    <w:rsid w:val="00AE5B09"/>
    <w:rsid w:val="00AF4DBA"/>
    <w:rsid w:val="00B01048"/>
    <w:rsid w:val="00B42EF8"/>
    <w:rsid w:val="00B56CF1"/>
    <w:rsid w:val="00B56F4F"/>
    <w:rsid w:val="00B63F87"/>
    <w:rsid w:val="00B65EB3"/>
    <w:rsid w:val="00B95278"/>
    <w:rsid w:val="00BA79E0"/>
    <w:rsid w:val="00BB1320"/>
    <w:rsid w:val="00BD2E5F"/>
    <w:rsid w:val="00BF12EC"/>
    <w:rsid w:val="00BF275C"/>
    <w:rsid w:val="00C05C39"/>
    <w:rsid w:val="00C1254F"/>
    <w:rsid w:val="00C7764F"/>
    <w:rsid w:val="00C86AC4"/>
    <w:rsid w:val="00C93D8B"/>
    <w:rsid w:val="00CA2CF5"/>
    <w:rsid w:val="00CE1984"/>
    <w:rsid w:val="00CE5260"/>
    <w:rsid w:val="00CE6956"/>
    <w:rsid w:val="00CF3C6A"/>
    <w:rsid w:val="00D50207"/>
    <w:rsid w:val="00D5379D"/>
    <w:rsid w:val="00D64013"/>
    <w:rsid w:val="00D74215"/>
    <w:rsid w:val="00D76096"/>
    <w:rsid w:val="00DA3693"/>
    <w:rsid w:val="00DA713E"/>
    <w:rsid w:val="00DB4ECC"/>
    <w:rsid w:val="00DB767A"/>
    <w:rsid w:val="00DC234C"/>
    <w:rsid w:val="00DE700B"/>
    <w:rsid w:val="00DF3B4C"/>
    <w:rsid w:val="00E22AC0"/>
    <w:rsid w:val="00E2770B"/>
    <w:rsid w:val="00E3612D"/>
    <w:rsid w:val="00E4047F"/>
    <w:rsid w:val="00E41F2E"/>
    <w:rsid w:val="00E52614"/>
    <w:rsid w:val="00E562BD"/>
    <w:rsid w:val="00E90782"/>
    <w:rsid w:val="00EB69C5"/>
    <w:rsid w:val="00ED3425"/>
    <w:rsid w:val="00EE529C"/>
    <w:rsid w:val="00F04DF2"/>
    <w:rsid w:val="00F108C6"/>
    <w:rsid w:val="00F20199"/>
    <w:rsid w:val="00F23ED6"/>
    <w:rsid w:val="00F25513"/>
    <w:rsid w:val="00F33865"/>
    <w:rsid w:val="00F35FAC"/>
    <w:rsid w:val="00F45EA0"/>
    <w:rsid w:val="00F50059"/>
    <w:rsid w:val="00F52768"/>
    <w:rsid w:val="00F6271A"/>
    <w:rsid w:val="00F80C7F"/>
    <w:rsid w:val="00F96D62"/>
    <w:rsid w:val="00FD1BC1"/>
    <w:rsid w:val="00FD2981"/>
    <w:rsid w:val="00FD5E85"/>
    <w:rsid w:val="00FE14D9"/>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E6A1"/>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1A69-2DE0-4764-AE12-7FEC1620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UTC Project Information | Uses and Challenges of Collecting LiDAR Data from a Growing Autonomous Vehicle Fleet</vt:lpstr>
    </vt:vector>
  </TitlesOfParts>
  <Company>DOT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Integrated Strategic and Operational Planning for a Fast-Charging Battery Electric Bus System</dc:title>
  <dc:creator>megan.c.bohn</dc:creator>
  <cp:lastModifiedBy>Nichols, Patrick</cp:lastModifiedBy>
  <cp:revision>27</cp:revision>
  <cp:lastPrinted>2016-12-22T20:35:00Z</cp:lastPrinted>
  <dcterms:created xsi:type="dcterms:W3CDTF">2018-08-06T18:29:00Z</dcterms:created>
  <dcterms:modified xsi:type="dcterms:W3CDTF">2018-10-24T14:50:00Z</dcterms:modified>
</cp:coreProperties>
</file>