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00" w:firstRow="0" w:lastRow="0" w:firstColumn="0" w:lastColumn="0" w:noHBand="0" w:noVBand="1"/>
      </w:tblPr>
      <w:tblGrid>
        <w:gridCol w:w="3685"/>
        <w:gridCol w:w="6390"/>
      </w:tblGrid>
      <w:tr w:rsidR="006369C0" w:rsidRPr="00620FAB" w14:paraId="55F06F7C" w14:textId="77777777" w:rsidTr="00A45293">
        <w:trPr>
          <w:jc w:val="center"/>
        </w:trPr>
        <w:tc>
          <w:tcPr>
            <w:tcW w:w="10075" w:type="dxa"/>
            <w:gridSpan w:val="2"/>
          </w:tcPr>
          <w:p w14:paraId="04373B73" w14:textId="77777777" w:rsidR="006369C0" w:rsidRPr="00620FAB" w:rsidRDefault="006369C0">
            <w:pPr>
              <w:rPr>
                <w:rFonts w:ascii="Times New Roman" w:hAnsi="Times New Roman" w:cs="Times New Roman"/>
                <w:b/>
                <w:sz w:val="28"/>
                <w:szCs w:val="28"/>
              </w:rPr>
            </w:pPr>
            <w:r w:rsidRPr="00620FAB">
              <w:rPr>
                <w:rFonts w:ascii="Times New Roman" w:hAnsi="Times New Roman" w:cs="Times New Roman"/>
                <w:b/>
                <w:sz w:val="28"/>
                <w:szCs w:val="28"/>
              </w:rPr>
              <w:t>UTC  Project  Information</w:t>
            </w:r>
          </w:p>
        </w:tc>
      </w:tr>
      <w:tr w:rsidR="006369C0" w:rsidRPr="00620FAB" w14:paraId="7FA4E981" w14:textId="77777777" w:rsidTr="00A45293">
        <w:trPr>
          <w:jc w:val="center"/>
        </w:trPr>
        <w:tc>
          <w:tcPr>
            <w:tcW w:w="3685" w:type="dxa"/>
          </w:tcPr>
          <w:p w14:paraId="03F1D78B" w14:textId="77777777" w:rsidR="006369C0" w:rsidRPr="00620FAB" w:rsidRDefault="006369C0">
            <w:pPr>
              <w:rPr>
                <w:rFonts w:ascii="Times New Roman" w:hAnsi="Times New Roman" w:cs="Times New Roman"/>
              </w:rPr>
            </w:pPr>
            <w:r w:rsidRPr="00620FAB">
              <w:rPr>
                <w:rFonts w:ascii="Times New Roman" w:hAnsi="Times New Roman" w:cs="Times New Roman"/>
              </w:rPr>
              <w:t>Project Title</w:t>
            </w:r>
          </w:p>
        </w:tc>
        <w:tc>
          <w:tcPr>
            <w:tcW w:w="6390" w:type="dxa"/>
          </w:tcPr>
          <w:p w14:paraId="6FE6ADC2" w14:textId="77777777" w:rsidR="006369C0" w:rsidRPr="00620FAB" w:rsidRDefault="0001290E" w:rsidP="00620FAB">
            <w:pPr>
              <w:rPr>
                <w:rFonts w:ascii="Times New Roman" w:hAnsi="Times New Roman" w:cs="Times New Roman"/>
                <w:szCs w:val="24"/>
              </w:rPr>
            </w:pPr>
            <w:r w:rsidRPr="00620FAB">
              <w:rPr>
                <w:rFonts w:ascii="Times New Roman" w:hAnsi="Times New Roman" w:cs="Times New Roman"/>
                <w:noProof/>
                <w:szCs w:val="24"/>
              </w:rPr>
              <w:t>MPC-5</w:t>
            </w:r>
            <w:r w:rsidR="00352F16" w:rsidRPr="00620FAB">
              <w:rPr>
                <w:rFonts w:ascii="Times New Roman" w:hAnsi="Times New Roman" w:cs="Times New Roman"/>
                <w:noProof/>
                <w:szCs w:val="24"/>
              </w:rPr>
              <w:t>8</w:t>
            </w:r>
            <w:r w:rsidR="003470FA" w:rsidRPr="00620FAB">
              <w:rPr>
                <w:rFonts w:ascii="Times New Roman" w:hAnsi="Times New Roman" w:cs="Times New Roman"/>
                <w:noProof/>
                <w:szCs w:val="24"/>
              </w:rPr>
              <w:t>8</w:t>
            </w:r>
            <w:r w:rsidR="006369C0" w:rsidRPr="00620FAB">
              <w:rPr>
                <w:rFonts w:ascii="Times New Roman" w:hAnsi="Times New Roman" w:cs="Times New Roman"/>
                <w:szCs w:val="24"/>
              </w:rPr>
              <w:t xml:space="preserve"> – </w:t>
            </w:r>
            <w:r w:rsidR="003470FA" w:rsidRPr="00620FAB">
              <w:rPr>
                <w:rFonts w:ascii="Times New Roman" w:hAnsi="Times New Roman" w:cs="Times New Roman"/>
                <w:szCs w:val="24"/>
              </w:rPr>
              <w:t>Hybrid Bridge Bents Using Post-tensioned Precast Columns for Accelerated Bridge Construction in High Seismic Regions</w:t>
            </w:r>
          </w:p>
        </w:tc>
      </w:tr>
      <w:tr w:rsidR="006369C0" w:rsidRPr="00620FAB" w14:paraId="11DA63D9" w14:textId="77777777" w:rsidTr="00A45293">
        <w:trPr>
          <w:jc w:val="center"/>
        </w:trPr>
        <w:tc>
          <w:tcPr>
            <w:tcW w:w="3685" w:type="dxa"/>
          </w:tcPr>
          <w:p w14:paraId="749EE7C8" w14:textId="77777777" w:rsidR="006369C0" w:rsidRPr="00620FAB" w:rsidRDefault="006369C0">
            <w:pPr>
              <w:rPr>
                <w:rFonts w:ascii="Times New Roman" w:hAnsi="Times New Roman" w:cs="Times New Roman"/>
              </w:rPr>
            </w:pPr>
            <w:r w:rsidRPr="00620FAB">
              <w:rPr>
                <w:rFonts w:ascii="Times New Roman" w:hAnsi="Times New Roman" w:cs="Times New Roman"/>
              </w:rPr>
              <w:t>University</w:t>
            </w:r>
          </w:p>
        </w:tc>
        <w:tc>
          <w:tcPr>
            <w:tcW w:w="6390" w:type="dxa"/>
          </w:tcPr>
          <w:p w14:paraId="0F2ECF7B" w14:textId="77777777" w:rsidR="006369C0" w:rsidRPr="00620FAB" w:rsidRDefault="00FA5E45" w:rsidP="00620FAB">
            <w:pPr>
              <w:rPr>
                <w:rFonts w:ascii="Times New Roman" w:eastAsia="Calibri" w:hAnsi="Times New Roman" w:cs="Times New Roman"/>
                <w:szCs w:val="24"/>
              </w:rPr>
            </w:pPr>
            <w:r w:rsidRPr="00620FAB">
              <w:rPr>
                <w:rFonts w:ascii="Times New Roman" w:eastAsia="Calibri" w:hAnsi="Times New Roman" w:cs="Times New Roman"/>
                <w:szCs w:val="24"/>
              </w:rPr>
              <w:t>University of Utah</w:t>
            </w:r>
          </w:p>
        </w:tc>
      </w:tr>
      <w:tr w:rsidR="006369C0" w:rsidRPr="00620FAB" w14:paraId="65315525" w14:textId="77777777" w:rsidTr="00A45293">
        <w:trPr>
          <w:jc w:val="center"/>
        </w:trPr>
        <w:tc>
          <w:tcPr>
            <w:tcW w:w="3685" w:type="dxa"/>
          </w:tcPr>
          <w:p w14:paraId="02353E39" w14:textId="77777777" w:rsidR="006369C0" w:rsidRPr="00620FAB" w:rsidRDefault="006369C0">
            <w:pPr>
              <w:rPr>
                <w:rFonts w:ascii="Times New Roman" w:hAnsi="Times New Roman" w:cs="Times New Roman"/>
              </w:rPr>
            </w:pPr>
            <w:r w:rsidRPr="00620FAB">
              <w:rPr>
                <w:rFonts w:ascii="Times New Roman" w:hAnsi="Times New Roman" w:cs="Times New Roman"/>
              </w:rPr>
              <w:t>Principal Investigator</w:t>
            </w:r>
          </w:p>
        </w:tc>
        <w:tc>
          <w:tcPr>
            <w:tcW w:w="6390" w:type="dxa"/>
          </w:tcPr>
          <w:p w14:paraId="4FA0C1A2" w14:textId="77777777" w:rsidR="0055016C" w:rsidRPr="00620FAB" w:rsidRDefault="00B554FD" w:rsidP="00620FAB">
            <w:pPr>
              <w:autoSpaceDE w:val="0"/>
              <w:autoSpaceDN w:val="0"/>
              <w:adjustRightInd w:val="0"/>
              <w:rPr>
                <w:rFonts w:ascii="Times New Roman" w:eastAsia="Times New Roman" w:hAnsi="Times New Roman" w:cs="Times New Roman"/>
                <w:color w:val="000000"/>
                <w:szCs w:val="24"/>
              </w:rPr>
            </w:pPr>
            <w:r w:rsidRPr="00620FAB">
              <w:rPr>
                <w:rFonts w:ascii="Times New Roman" w:hAnsi="Times New Roman" w:cs="Times New Roman"/>
                <w:noProof/>
                <w:szCs w:val="24"/>
              </w:rPr>
              <w:t>Chris P. Pantelides</w:t>
            </w:r>
          </w:p>
        </w:tc>
      </w:tr>
      <w:tr w:rsidR="006369C0" w:rsidRPr="00620FAB" w14:paraId="6A90B846" w14:textId="77777777" w:rsidTr="00A45293">
        <w:trPr>
          <w:jc w:val="center"/>
        </w:trPr>
        <w:tc>
          <w:tcPr>
            <w:tcW w:w="3685" w:type="dxa"/>
          </w:tcPr>
          <w:p w14:paraId="309C4F7F" w14:textId="77777777" w:rsidR="006369C0" w:rsidRPr="00620FAB" w:rsidRDefault="006369C0">
            <w:pPr>
              <w:rPr>
                <w:rFonts w:ascii="Times New Roman" w:hAnsi="Times New Roman" w:cs="Times New Roman"/>
              </w:rPr>
            </w:pPr>
            <w:r w:rsidRPr="00620FAB">
              <w:rPr>
                <w:rFonts w:ascii="Times New Roman" w:hAnsi="Times New Roman" w:cs="Times New Roman"/>
              </w:rPr>
              <w:t>PI Contact Information</w:t>
            </w:r>
          </w:p>
        </w:tc>
        <w:tc>
          <w:tcPr>
            <w:tcW w:w="6390" w:type="dxa"/>
          </w:tcPr>
          <w:p w14:paraId="77A299EB" w14:textId="77777777" w:rsidR="00B554FD" w:rsidRPr="00620FAB" w:rsidRDefault="00B554FD" w:rsidP="00620FAB">
            <w:pPr>
              <w:rPr>
                <w:rFonts w:ascii="Times New Roman" w:hAnsi="Times New Roman" w:cs="Times New Roman"/>
                <w:noProof/>
                <w:szCs w:val="24"/>
              </w:rPr>
            </w:pPr>
            <w:r w:rsidRPr="00620FAB">
              <w:rPr>
                <w:rFonts w:ascii="Times New Roman" w:hAnsi="Times New Roman" w:cs="Times New Roman"/>
                <w:noProof/>
                <w:szCs w:val="24"/>
              </w:rPr>
              <w:t>Professor</w:t>
            </w:r>
          </w:p>
          <w:p w14:paraId="33F7C3F5" w14:textId="77777777" w:rsidR="00B554FD" w:rsidRPr="00620FAB" w:rsidRDefault="00B554FD" w:rsidP="00620FAB">
            <w:pPr>
              <w:rPr>
                <w:rFonts w:ascii="Times New Roman" w:hAnsi="Times New Roman" w:cs="Times New Roman"/>
                <w:noProof/>
                <w:szCs w:val="24"/>
              </w:rPr>
            </w:pPr>
            <w:r w:rsidRPr="00620FAB">
              <w:rPr>
                <w:rFonts w:ascii="Times New Roman" w:hAnsi="Times New Roman" w:cs="Times New Roman"/>
                <w:noProof/>
                <w:szCs w:val="24"/>
              </w:rPr>
              <w:t>University of Utah</w:t>
            </w:r>
          </w:p>
          <w:p w14:paraId="432563F2" w14:textId="77777777" w:rsidR="00B554FD" w:rsidRPr="00620FAB" w:rsidRDefault="00B554FD" w:rsidP="00620FAB">
            <w:pPr>
              <w:rPr>
                <w:rFonts w:ascii="Times New Roman" w:hAnsi="Times New Roman" w:cs="Times New Roman"/>
                <w:noProof/>
                <w:szCs w:val="24"/>
              </w:rPr>
            </w:pPr>
            <w:r w:rsidRPr="00620FAB">
              <w:rPr>
                <w:rFonts w:ascii="Times New Roman" w:hAnsi="Times New Roman" w:cs="Times New Roman"/>
                <w:noProof/>
                <w:szCs w:val="24"/>
              </w:rPr>
              <w:t>Phone: (801) 585-3991</w:t>
            </w:r>
          </w:p>
          <w:p w14:paraId="0C7821DE" w14:textId="77777777" w:rsidR="00B554FD" w:rsidRPr="00620FAB" w:rsidRDefault="00B554FD" w:rsidP="00620FAB">
            <w:pPr>
              <w:rPr>
                <w:rFonts w:ascii="Times New Roman" w:hAnsi="Times New Roman" w:cs="Times New Roman"/>
                <w:noProof/>
                <w:szCs w:val="24"/>
              </w:rPr>
            </w:pPr>
            <w:r w:rsidRPr="00620FAB">
              <w:rPr>
                <w:rFonts w:ascii="Times New Roman" w:hAnsi="Times New Roman" w:cs="Times New Roman"/>
                <w:noProof/>
                <w:szCs w:val="24"/>
              </w:rPr>
              <w:t>Email: c.pantelides@utah.edu</w:t>
            </w:r>
          </w:p>
          <w:p w14:paraId="77B80B26" w14:textId="77777777" w:rsidR="006369C0" w:rsidRPr="00620FAB" w:rsidRDefault="00B554FD" w:rsidP="00620FAB">
            <w:pPr>
              <w:rPr>
                <w:rFonts w:ascii="Times New Roman" w:hAnsi="Times New Roman" w:cs="Times New Roman"/>
                <w:noProof/>
                <w:szCs w:val="24"/>
              </w:rPr>
            </w:pPr>
            <w:r w:rsidRPr="00620FAB">
              <w:rPr>
                <w:rFonts w:ascii="Times New Roman" w:hAnsi="Times New Roman" w:cs="Times New Roman"/>
                <w:noProof/>
                <w:szCs w:val="24"/>
              </w:rPr>
              <w:t>ORCID: 0000-0003-3309-3488</w:t>
            </w:r>
          </w:p>
        </w:tc>
      </w:tr>
      <w:tr w:rsidR="006369C0" w:rsidRPr="00620FAB" w14:paraId="0B48D913" w14:textId="77777777" w:rsidTr="00A45293">
        <w:trPr>
          <w:jc w:val="center"/>
        </w:trPr>
        <w:tc>
          <w:tcPr>
            <w:tcW w:w="3685" w:type="dxa"/>
          </w:tcPr>
          <w:p w14:paraId="4CFA3EDA" w14:textId="77777777" w:rsidR="006369C0" w:rsidRPr="00620FAB" w:rsidRDefault="006369C0" w:rsidP="00947EC7">
            <w:pPr>
              <w:rPr>
                <w:rFonts w:ascii="Times New Roman" w:hAnsi="Times New Roman" w:cs="Times New Roman"/>
              </w:rPr>
            </w:pPr>
            <w:r w:rsidRPr="00620FAB">
              <w:rPr>
                <w:rFonts w:ascii="Times New Roman" w:hAnsi="Times New Roman" w:cs="Times New Roman"/>
              </w:rPr>
              <w:t>Funding Source(s) and Amounts Provided (by each agency or organization)</w:t>
            </w:r>
          </w:p>
        </w:tc>
        <w:tc>
          <w:tcPr>
            <w:tcW w:w="6390" w:type="dxa"/>
          </w:tcPr>
          <w:p w14:paraId="374A20D7" w14:textId="77777777" w:rsidR="006369C0" w:rsidRPr="00620FAB" w:rsidRDefault="006369C0" w:rsidP="00620FAB">
            <w:pPr>
              <w:rPr>
                <w:rFonts w:ascii="Times New Roman" w:hAnsi="Times New Roman" w:cs="Times New Roman"/>
              </w:rPr>
            </w:pPr>
            <w:r w:rsidRPr="00620FAB">
              <w:rPr>
                <w:rFonts w:ascii="Times New Roman" w:hAnsi="Times New Roman" w:cs="Times New Roman"/>
                <w:noProof/>
              </w:rPr>
              <w:t>USDOT, Research and Innovative Technology Administration</w:t>
            </w:r>
          </w:p>
          <w:p w14:paraId="2BDE3A20" w14:textId="7B7CCD45" w:rsidR="006369C0" w:rsidRPr="00620FAB" w:rsidRDefault="00B14DE6" w:rsidP="00073362">
            <w:pPr>
              <w:spacing w:after="240"/>
              <w:rPr>
                <w:rFonts w:ascii="Times New Roman" w:hAnsi="Times New Roman" w:cs="Times New Roman"/>
              </w:rPr>
            </w:pPr>
            <w:r w:rsidRPr="00620FAB">
              <w:rPr>
                <w:rFonts w:ascii="Times New Roman" w:hAnsi="Times New Roman" w:cs="Times New Roman"/>
              </w:rPr>
              <w:t>$</w:t>
            </w:r>
            <w:r w:rsidR="00B50C0C" w:rsidRPr="00620FAB">
              <w:rPr>
                <w:rFonts w:ascii="Times New Roman" w:hAnsi="Times New Roman" w:cs="Times New Roman"/>
              </w:rPr>
              <w:t>112</w:t>
            </w:r>
            <w:r w:rsidR="0083302C" w:rsidRPr="00620FAB">
              <w:rPr>
                <w:rFonts w:ascii="Times New Roman" w:hAnsi="Times New Roman" w:cs="Times New Roman"/>
              </w:rPr>
              <w:t>,</w:t>
            </w:r>
            <w:r w:rsidR="00633CBF" w:rsidRPr="00620FAB">
              <w:rPr>
                <w:rFonts w:ascii="Times New Roman" w:hAnsi="Times New Roman" w:cs="Times New Roman"/>
              </w:rPr>
              <w:t>000</w:t>
            </w:r>
          </w:p>
          <w:p w14:paraId="0768A5C9" w14:textId="77777777" w:rsidR="00B50C0C" w:rsidRPr="00620FAB" w:rsidRDefault="00B50C0C" w:rsidP="00620FAB">
            <w:pPr>
              <w:rPr>
                <w:rFonts w:ascii="Times New Roman" w:hAnsi="Times New Roman" w:cs="Times New Roman"/>
              </w:rPr>
            </w:pPr>
            <w:r w:rsidRPr="00620FAB">
              <w:rPr>
                <w:rFonts w:ascii="Times New Roman" w:hAnsi="Times New Roman" w:cs="Times New Roman"/>
              </w:rPr>
              <w:t>Splice Sleeve North America, US Endowment for Forestry and</w:t>
            </w:r>
          </w:p>
          <w:p w14:paraId="54ACC06C" w14:textId="77777777" w:rsidR="006369C0" w:rsidRPr="00620FAB" w:rsidRDefault="00B50C0C" w:rsidP="00620FAB">
            <w:pPr>
              <w:rPr>
                <w:rFonts w:ascii="Times New Roman" w:hAnsi="Times New Roman" w:cs="Times New Roman"/>
              </w:rPr>
            </w:pPr>
            <w:r w:rsidRPr="00620FAB">
              <w:rPr>
                <w:rFonts w:ascii="Times New Roman" w:hAnsi="Times New Roman" w:cs="Times New Roman"/>
              </w:rPr>
              <w:t xml:space="preserve">Communities, </w:t>
            </w:r>
            <w:proofErr w:type="spellStart"/>
            <w:r w:rsidRPr="00620FAB">
              <w:rPr>
                <w:rFonts w:ascii="Times New Roman" w:hAnsi="Times New Roman" w:cs="Times New Roman"/>
              </w:rPr>
              <w:t>Corebrace</w:t>
            </w:r>
            <w:proofErr w:type="spellEnd"/>
          </w:p>
          <w:p w14:paraId="025ED61D" w14:textId="77777777" w:rsidR="006369C0" w:rsidRPr="00620FAB" w:rsidRDefault="00B14DE6" w:rsidP="00620FAB">
            <w:pPr>
              <w:rPr>
                <w:rFonts w:ascii="Times New Roman" w:hAnsi="Times New Roman" w:cs="Times New Roman"/>
              </w:rPr>
            </w:pPr>
            <w:r w:rsidRPr="00620FAB">
              <w:rPr>
                <w:rFonts w:ascii="Times New Roman" w:hAnsi="Times New Roman" w:cs="Times New Roman"/>
              </w:rPr>
              <w:t>$</w:t>
            </w:r>
            <w:r w:rsidR="00B50C0C" w:rsidRPr="00620FAB">
              <w:rPr>
                <w:rFonts w:ascii="Times New Roman" w:hAnsi="Times New Roman" w:cs="Times New Roman"/>
              </w:rPr>
              <w:t>124</w:t>
            </w:r>
            <w:r w:rsidR="0083302C" w:rsidRPr="00620FAB">
              <w:rPr>
                <w:rFonts w:ascii="Times New Roman" w:hAnsi="Times New Roman" w:cs="Times New Roman"/>
              </w:rPr>
              <w:t>,</w:t>
            </w:r>
            <w:r w:rsidR="00B93CEF" w:rsidRPr="00620FAB">
              <w:rPr>
                <w:rFonts w:ascii="Times New Roman" w:hAnsi="Times New Roman" w:cs="Times New Roman"/>
              </w:rPr>
              <w:t>0</w:t>
            </w:r>
            <w:r w:rsidR="00B50C0C" w:rsidRPr="00620FAB">
              <w:rPr>
                <w:rFonts w:ascii="Times New Roman" w:hAnsi="Times New Roman" w:cs="Times New Roman"/>
              </w:rPr>
              <w:t>9</w:t>
            </w:r>
            <w:r w:rsidR="00B93CEF" w:rsidRPr="00620FAB">
              <w:rPr>
                <w:rFonts w:ascii="Times New Roman" w:hAnsi="Times New Roman" w:cs="Times New Roman"/>
              </w:rPr>
              <w:t>0</w:t>
            </w:r>
          </w:p>
        </w:tc>
      </w:tr>
      <w:tr w:rsidR="006369C0" w:rsidRPr="00620FAB" w14:paraId="2B419ABB" w14:textId="77777777" w:rsidTr="00A45293">
        <w:trPr>
          <w:jc w:val="center"/>
        </w:trPr>
        <w:tc>
          <w:tcPr>
            <w:tcW w:w="3685" w:type="dxa"/>
          </w:tcPr>
          <w:p w14:paraId="04BC6CC6" w14:textId="77777777" w:rsidR="006369C0" w:rsidRPr="00620FAB" w:rsidRDefault="006369C0" w:rsidP="00947EC7">
            <w:pPr>
              <w:rPr>
                <w:rFonts w:ascii="Times New Roman" w:hAnsi="Times New Roman" w:cs="Times New Roman"/>
              </w:rPr>
            </w:pPr>
            <w:r w:rsidRPr="00620FAB">
              <w:rPr>
                <w:rFonts w:ascii="Times New Roman" w:hAnsi="Times New Roman" w:cs="Times New Roman"/>
              </w:rPr>
              <w:t>Total Project Cost</w:t>
            </w:r>
          </w:p>
        </w:tc>
        <w:tc>
          <w:tcPr>
            <w:tcW w:w="6390" w:type="dxa"/>
          </w:tcPr>
          <w:p w14:paraId="4BA59B3F" w14:textId="77777777" w:rsidR="006369C0" w:rsidRPr="00620FAB" w:rsidRDefault="00E3612D" w:rsidP="00620FAB">
            <w:pPr>
              <w:rPr>
                <w:rFonts w:ascii="Times New Roman" w:hAnsi="Times New Roman" w:cs="Times New Roman"/>
              </w:rPr>
            </w:pPr>
            <w:r w:rsidRPr="00620FAB">
              <w:rPr>
                <w:rFonts w:ascii="Times New Roman" w:eastAsia="Times New Roman" w:hAnsi="Times New Roman" w:cs="Times New Roman"/>
                <w:noProof/>
                <w:color w:val="000000"/>
                <w:szCs w:val="24"/>
              </w:rPr>
              <w:t>$</w:t>
            </w:r>
            <w:r w:rsidR="006133F6" w:rsidRPr="00620FAB">
              <w:rPr>
                <w:rFonts w:ascii="Times New Roman" w:eastAsia="Times New Roman" w:hAnsi="Times New Roman" w:cs="Times New Roman"/>
                <w:noProof/>
                <w:color w:val="000000"/>
                <w:szCs w:val="24"/>
              </w:rPr>
              <w:t>236</w:t>
            </w:r>
            <w:r w:rsidR="00182779" w:rsidRPr="00620FAB">
              <w:rPr>
                <w:rFonts w:ascii="Times New Roman" w:eastAsia="Times New Roman" w:hAnsi="Times New Roman" w:cs="Times New Roman"/>
                <w:noProof/>
                <w:color w:val="000000"/>
                <w:szCs w:val="24"/>
              </w:rPr>
              <w:t>,</w:t>
            </w:r>
            <w:r w:rsidR="001D1BB3" w:rsidRPr="00620FAB">
              <w:rPr>
                <w:rFonts w:ascii="Times New Roman" w:eastAsia="Times New Roman" w:hAnsi="Times New Roman" w:cs="Times New Roman"/>
                <w:noProof/>
                <w:color w:val="000000"/>
                <w:szCs w:val="24"/>
              </w:rPr>
              <w:t>0</w:t>
            </w:r>
            <w:r w:rsidR="006133F6" w:rsidRPr="00620FAB">
              <w:rPr>
                <w:rFonts w:ascii="Times New Roman" w:eastAsia="Times New Roman" w:hAnsi="Times New Roman" w:cs="Times New Roman"/>
                <w:noProof/>
                <w:color w:val="000000"/>
                <w:szCs w:val="24"/>
              </w:rPr>
              <w:t>9</w:t>
            </w:r>
            <w:r w:rsidR="001D1BB3" w:rsidRPr="00620FAB">
              <w:rPr>
                <w:rFonts w:ascii="Times New Roman" w:eastAsia="Times New Roman" w:hAnsi="Times New Roman" w:cs="Times New Roman"/>
                <w:noProof/>
                <w:color w:val="000000"/>
                <w:szCs w:val="24"/>
              </w:rPr>
              <w:t>0</w:t>
            </w:r>
          </w:p>
        </w:tc>
      </w:tr>
      <w:tr w:rsidR="006369C0" w:rsidRPr="00620FAB" w14:paraId="04C20A2F" w14:textId="77777777" w:rsidTr="00A45293">
        <w:trPr>
          <w:jc w:val="center"/>
        </w:trPr>
        <w:tc>
          <w:tcPr>
            <w:tcW w:w="3685" w:type="dxa"/>
          </w:tcPr>
          <w:p w14:paraId="0ED9B886" w14:textId="77777777" w:rsidR="006369C0" w:rsidRPr="00620FAB" w:rsidRDefault="006369C0" w:rsidP="00947EC7">
            <w:pPr>
              <w:rPr>
                <w:rFonts w:ascii="Times New Roman" w:hAnsi="Times New Roman" w:cs="Times New Roman"/>
              </w:rPr>
            </w:pPr>
            <w:r w:rsidRPr="00620FAB">
              <w:rPr>
                <w:rFonts w:ascii="Times New Roman" w:hAnsi="Times New Roman" w:cs="Times New Roman"/>
              </w:rPr>
              <w:t>Agency ID or Contract Number</w:t>
            </w:r>
          </w:p>
        </w:tc>
        <w:tc>
          <w:tcPr>
            <w:tcW w:w="6390" w:type="dxa"/>
          </w:tcPr>
          <w:p w14:paraId="5188B62F" w14:textId="77777777" w:rsidR="006369C0" w:rsidRPr="00620FAB" w:rsidRDefault="006369C0" w:rsidP="00620FAB">
            <w:pPr>
              <w:rPr>
                <w:rFonts w:ascii="Times New Roman" w:hAnsi="Times New Roman" w:cs="Times New Roman"/>
              </w:rPr>
            </w:pPr>
            <w:r w:rsidRPr="00620FAB">
              <w:rPr>
                <w:rFonts w:ascii="Times New Roman" w:hAnsi="Times New Roman" w:cs="Times New Roman"/>
                <w:noProof/>
              </w:rPr>
              <w:t>69A3551747108</w:t>
            </w:r>
          </w:p>
        </w:tc>
      </w:tr>
      <w:tr w:rsidR="006369C0" w:rsidRPr="00620FAB" w14:paraId="1F067DD7" w14:textId="77777777" w:rsidTr="00A45293">
        <w:trPr>
          <w:jc w:val="center"/>
        </w:trPr>
        <w:tc>
          <w:tcPr>
            <w:tcW w:w="3685" w:type="dxa"/>
          </w:tcPr>
          <w:p w14:paraId="230D7023" w14:textId="77777777" w:rsidR="006369C0" w:rsidRPr="00620FAB" w:rsidRDefault="006369C0" w:rsidP="00947EC7">
            <w:pPr>
              <w:rPr>
                <w:rFonts w:ascii="Times New Roman" w:hAnsi="Times New Roman" w:cs="Times New Roman"/>
              </w:rPr>
            </w:pPr>
            <w:r w:rsidRPr="00620FAB">
              <w:rPr>
                <w:rFonts w:ascii="Times New Roman" w:hAnsi="Times New Roman" w:cs="Times New Roman"/>
              </w:rPr>
              <w:t>Start and End Dates</w:t>
            </w:r>
          </w:p>
        </w:tc>
        <w:tc>
          <w:tcPr>
            <w:tcW w:w="6390" w:type="dxa"/>
          </w:tcPr>
          <w:p w14:paraId="5593B7FE" w14:textId="77777777" w:rsidR="006369C0" w:rsidRPr="00620FAB" w:rsidRDefault="009412AE" w:rsidP="00620FAB">
            <w:pPr>
              <w:rPr>
                <w:rFonts w:ascii="Times New Roman" w:hAnsi="Times New Roman" w:cs="Times New Roman"/>
                <w:highlight w:val="yellow"/>
              </w:rPr>
            </w:pPr>
            <w:r w:rsidRPr="00620FAB">
              <w:rPr>
                <w:rFonts w:ascii="Times New Roman" w:hAnsi="Times New Roman" w:cs="Times New Roman"/>
                <w:noProof/>
              </w:rPr>
              <w:t>January</w:t>
            </w:r>
            <w:r w:rsidR="006369C0" w:rsidRPr="00620FAB">
              <w:rPr>
                <w:rFonts w:ascii="Times New Roman" w:hAnsi="Times New Roman" w:cs="Times New Roman"/>
                <w:noProof/>
              </w:rPr>
              <w:t xml:space="preserve"> </w:t>
            </w:r>
            <w:r w:rsidR="00D415CF" w:rsidRPr="00620FAB">
              <w:rPr>
                <w:rFonts w:ascii="Times New Roman" w:hAnsi="Times New Roman" w:cs="Times New Roman"/>
                <w:noProof/>
              </w:rPr>
              <w:t>1</w:t>
            </w:r>
            <w:r w:rsidRPr="00620FAB">
              <w:rPr>
                <w:rFonts w:ascii="Times New Roman" w:hAnsi="Times New Roman" w:cs="Times New Roman"/>
                <w:noProof/>
              </w:rPr>
              <w:t>2</w:t>
            </w:r>
            <w:r w:rsidR="006369C0" w:rsidRPr="00620FAB">
              <w:rPr>
                <w:rFonts w:ascii="Times New Roman" w:hAnsi="Times New Roman" w:cs="Times New Roman"/>
                <w:noProof/>
              </w:rPr>
              <w:t>, 201</w:t>
            </w:r>
            <w:r w:rsidRPr="00620FAB">
              <w:rPr>
                <w:rFonts w:ascii="Times New Roman" w:hAnsi="Times New Roman" w:cs="Times New Roman"/>
                <w:noProof/>
              </w:rPr>
              <w:t>9</w:t>
            </w:r>
            <w:r w:rsidR="006369C0" w:rsidRPr="00620FAB">
              <w:rPr>
                <w:rFonts w:ascii="Times New Roman" w:hAnsi="Times New Roman" w:cs="Times New Roman"/>
                <w:noProof/>
              </w:rPr>
              <w:t xml:space="preserve"> to July 31, 2022</w:t>
            </w:r>
          </w:p>
        </w:tc>
      </w:tr>
      <w:tr w:rsidR="006369C0" w:rsidRPr="00620FAB" w14:paraId="63924014" w14:textId="77777777" w:rsidTr="00A45293">
        <w:trPr>
          <w:jc w:val="center"/>
        </w:trPr>
        <w:tc>
          <w:tcPr>
            <w:tcW w:w="3685" w:type="dxa"/>
          </w:tcPr>
          <w:p w14:paraId="57167087" w14:textId="77777777" w:rsidR="006369C0" w:rsidRPr="00620FAB" w:rsidRDefault="006369C0">
            <w:pPr>
              <w:rPr>
                <w:rFonts w:ascii="Times New Roman" w:hAnsi="Times New Roman" w:cs="Times New Roman"/>
              </w:rPr>
            </w:pPr>
            <w:r w:rsidRPr="00620FAB">
              <w:rPr>
                <w:rFonts w:ascii="Times New Roman" w:hAnsi="Times New Roman" w:cs="Times New Roman"/>
              </w:rPr>
              <w:t>Brief Description of Research Project</w:t>
            </w:r>
          </w:p>
        </w:tc>
        <w:tc>
          <w:tcPr>
            <w:tcW w:w="6390" w:type="dxa"/>
          </w:tcPr>
          <w:p w14:paraId="12E7D991" w14:textId="77777777" w:rsidR="006369C0" w:rsidRPr="00620FAB" w:rsidRDefault="00C971CF" w:rsidP="00620FAB">
            <w:pPr>
              <w:rPr>
                <w:rFonts w:ascii="Times New Roman" w:hAnsi="Times New Roman" w:cs="Times New Roman"/>
                <w:noProof/>
                <w:szCs w:val="24"/>
              </w:rPr>
            </w:pPr>
            <w:r w:rsidRPr="00620FAB">
              <w:rPr>
                <w:rFonts w:ascii="Times New Roman" w:hAnsi="Times New Roman" w:cs="Times New Roman"/>
                <w:noProof/>
                <w:szCs w:val="24"/>
              </w:rPr>
              <w:t>Seismic resilience of bridges improves safety and livability of communities. The State of Utah is likely to experience strong earthquakes. Successful completion of the project will ensure that the proposed method of constructing bridges will improve seismic resilience of bridges for strong earthquakes thus preserving the existing transportation system. The project investigates a bridge bent with self-centering precast concrete columns for Accelerated Bridge Construction (ABC) in high seismic regions. The proposed hybrid system consists of post-tensioned precast concrete columns in a two-column bridge bent with one or two Buckling Restrained Braces (BRBs) as external energy dissipation devices. The proposed activity involves testing and analysis of a bridge bent under cyclic loads built with the proposed system. It is expected that the precast columns will remain repairable after strong earthquakes. The BRB devices could be replaced after the earthquake whereas the gravity load bearing frame should remain undamaged.</w:t>
            </w:r>
          </w:p>
        </w:tc>
      </w:tr>
      <w:tr w:rsidR="006369C0" w:rsidRPr="00620FAB" w14:paraId="68360CF2" w14:textId="77777777" w:rsidTr="00A45293">
        <w:trPr>
          <w:trHeight w:val="1034"/>
          <w:jc w:val="center"/>
        </w:trPr>
        <w:tc>
          <w:tcPr>
            <w:tcW w:w="3685" w:type="dxa"/>
          </w:tcPr>
          <w:p w14:paraId="33111BFB" w14:textId="28E674B8" w:rsidR="006369C0" w:rsidRPr="00620FAB" w:rsidRDefault="006369C0">
            <w:pPr>
              <w:rPr>
                <w:rFonts w:ascii="Times New Roman" w:hAnsi="Times New Roman" w:cs="Times New Roman"/>
              </w:rPr>
            </w:pPr>
            <w:r w:rsidRPr="00620FAB">
              <w:rPr>
                <w:rFonts w:ascii="Times New Roman" w:hAnsi="Times New Roman" w:cs="Times New Roman"/>
              </w:rPr>
              <w:t>Describe Implementation of Research Outcomes (or why not implemented)</w:t>
            </w:r>
          </w:p>
          <w:p w14:paraId="326B2B0D" w14:textId="77777777" w:rsidR="006369C0" w:rsidRPr="00620FAB" w:rsidRDefault="006369C0" w:rsidP="00F66594">
            <w:pPr>
              <w:spacing w:before="240"/>
              <w:rPr>
                <w:rFonts w:ascii="Times New Roman" w:hAnsi="Times New Roman" w:cs="Times New Roman"/>
              </w:rPr>
            </w:pPr>
            <w:r w:rsidRPr="00620FAB">
              <w:rPr>
                <w:rFonts w:ascii="Times New Roman" w:hAnsi="Times New Roman" w:cs="Times New Roman"/>
              </w:rPr>
              <w:t>Place Any Photos Here</w:t>
            </w:r>
          </w:p>
        </w:tc>
        <w:tc>
          <w:tcPr>
            <w:tcW w:w="6390" w:type="dxa"/>
          </w:tcPr>
          <w:p w14:paraId="545F5468" w14:textId="14B0EC61" w:rsidR="006369C0" w:rsidRPr="00620FAB" w:rsidRDefault="00AD4120" w:rsidP="00620FAB">
            <w:pPr>
              <w:rPr>
                <w:rFonts w:ascii="Times New Roman" w:hAnsi="Times New Roman" w:cs="Times New Roman"/>
              </w:rPr>
            </w:pPr>
            <w:r w:rsidRPr="00AD4120">
              <w:rPr>
                <w:rFonts w:ascii="Times New Roman" w:hAnsi="Times New Roman" w:cs="Times New Roman"/>
              </w:rPr>
              <w:t>Not sufficiently developed for implementation.</w:t>
            </w:r>
          </w:p>
        </w:tc>
      </w:tr>
      <w:tr w:rsidR="006369C0" w:rsidRPr="00620FAB" w14:paraId="5524672C" w14:textId="77777777" w:rsidTr="00A45293">
        <w:trPr>
          <w:trHeight w:val="395"/>
          <w:jc w:val="center"/>
        </w:trPr>
        <w:tc>
          <w:tcPr>
            <w:tcW w:w="3685" w:type="dxa"/>
          </w:tcPr>
          <w:p w14:paraId="7C9B80B8" w14:textId="77777777" w:rsidR="006369C0" w:rsidRPr="00620FAB" w:rsidRDefault="006369C0">
            <w:pPr>
              <w:rPr>
                <w:rFonts w:ascii="Times New Roman" w:hAnsi="Times New Roman" w:cs="Times New Roman"/>
              </w:rPr>
            </w:pPr>
            <w:r w:rsidRPr="00620FAB">
              <w:rPr>
                <w:rFonts w:ascii="Times New Roman" w:hAnsi="Times New Roman" w:cs="Times New Roman"/>
              </w:rPr>
              <w:t>Impacts/Benefits of Implementation</w:t>
            </w:r>
          </w:p>
          <w:p w14:paraId="74A606C1" w14:textId="77777777" w:rsidR="006369C0" w:rsidRPr="00620FAB" w:rsidRDefault="006369C0">
            <w:pPr>
              <w:rPr>
                <w:rFonts w:ascii="Times New Roman" w:hAnsi="Times New Roman" w:cs="Times New Roman"/>
              </w:rPr>
            </w:pPr>
            <w:r w:rsidRPr="00620FAB">
              <w:rPr>
                <w:rFonts w:ascii="Times New Roman" w:hAnsi="Times New Roman" w:cs="Times New Roman"/>
              </w:rPr>
              <w:t>(actual, not anticipated)</w:t>
            </w:r>
          </w:p>
        </w:tc>
        <w:tc>
          <w:tcPr>
            <w:tcW w:w="6390" w:type="dxa"/>
          </w:tcPr>
          <w:p w14:paraId="205E1A51" w14:textId="6A3F0F83" w:rsidR="006369C0" w:rsidRPr="00620FAB" w:rsidRDefault="00AD4120" w:rsidP="00620FAB">
            <w:pPr>
              <w:rPr>
                <w:rFonts w:ascii="Times New Roman" w:hAnsi="Times New Roman" w:cs="Times New Roman"/>
              </w:rPr>
            </w:pPr>
            <w:r w:rsidRPr="00AD4120">
              <w:rPr>
                <w:rFonts w:ascii="Times New Roman" w:hAnsi="Times New Roman" w:cs="Times New Roman"/>
              </w:rPr>
              <w:t>The hybrid bridge bent with a BRB displays superior seismic performance under simulated earthquake excitations. Moreover, the replaceable feature of the BRBs makes the hybrid bridge bent seismically resilient; the bridge can recover immediately after an earthquake and remain operational. It is recommended that hybrid bridge bents with BRBs can be used in seismic zones due to their reduced residual displacement and higher hysteretic energy dissipation in strong earthquakes.</w:t>
            </w:r>
          </w:p>
        </w:tc>
      </w:tr>
      <w:tr w:rsidR="006369C0" w:rsidRPr="00620FAB" w14:paraId="392716F4" w14:textId="77777777" w:rsidTr="00A45293">
        <w:trPr>
          <w:jc w:val="center"/>
        </w:trPr>
        <w:tc>
          <w:tcPr>
            <w:tcW w:w="3685" w:type="dxa"/>
          </w:tcPr>
          <w:p w14:paraId="7096E357" w14:textId="77777777" w:rsidR="006369C0" w:rsidRPr="00620FAB" w:rsidRDefault="006369C0">
            <w:pPr>
              <w:rPr>
                <w:rFonts w:ascii="Times New Roman" w:hAnsi="Times New Roman" w:cs="Times New Roman"/>
              </w:rPr>
            </w:pPr>
            <w:r w:rsidRPr="00620FAB">
              <w:rPr>
                <w:rFonts w:ascii="Times New Roman" w:hAnsi="Times New Roman" w:cs="Times New Roman"/>
              </w:rPr>
              <w:t>Web Links</w:t>
            </w:r>
          </w:p>
          <w:p w14:paraId="679C7112" w14:textId="77777777" w:rsidR="006369C0" w:rsidRPr="00620FAB" w:rsidRDefault="006369C0" w:rsidP="005739F2">
            <w:pPr>
              <w:pStyle w:val="ListParagraph"/>
              <w:numPr>
                <w:ilvl w:val="0"/>
                <w:numId w:val="2"/>
              </w:numPr>
              <w:rPr>
                <w:rFonts w:ascii="Times New Roman" w:hAnsi="Times New Roman" w:cs="Times New Roman"/>
              </w:rPr>
            </w:pPr>
            <w:r w:rsidRPr="00620FAB">
              <w:rPr>
                <w:rFonts w:ascii="Times New Roman" w:hAnsi="Times New Roman" w:cs="Times New Roman"/>
              </w:rPr>
              <w:lastRenderedPageBreak/>
              <w:t>Reports</w:t>
            </w:r>
          </w:p>
          <w:p w14:paraId="77AAB21A" w14:textId="77777777" w:rsidR="006369C0" w:rsidRPr="00620FAB" w:rsidRDefault="006369C0" w:rsidP="004519D5">
            <w:pPr>
              <w:pStyle w:val="ListParagraph"/>
              <w:numPr>
                <w:ilvl w:val="0"/>
                <w:numId w:val="2"/>
              </w:numPr>
              <w:rPr>
                <w:rFonts w:ascii="Times New Roman" w:hAnsi="Times New Roman" w:cs="Times New Roman"/>
              </w:rPr>
            </w:pPr>
            <w:r w:rsidRPr="00620FAB">
              <w:rPr>
                <w:rFonts w:ascii="Times New Roman" w:hAnsi="Times New Roman" w:cs="Times New Roman"/>
              </w:rPr>
              <w:t>Project Website</w:t>
            </w:r>
          </w:p>
        </w:tc>
        <w:tc>
          <w:tcPr>
            <w:tcW w:w="6390" w:type="dxa"/>
          </w:tcPr>
          <w:p w14:paraId="00AEF6B5" w14:textId="715D8635" w:rsidR="006369C0" w:rsidRDefault="00AD4120" w:rsidP="00FB5ED2">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lastRenderedPageBreak/>
              <w:t xml:space="preserve">MPC Research Report – </w:t>
            </w:r>
            <w:hyperlink r:id="rId6" w:history="1">
              <w:r w:rsidRPr="00AD4120">
                <w:rPr>
                  <w:rStyle w:val="Hyperlink"/>
                  <w:rFonts w:ascii="Times New Roman" w:hAnsi="Times New Roman" w:cs="Times New Roman"/>
                </w:rPr>
                <w:t>Hybrid Bridge Bents Using Post-</w:t>
              </w:r>
              <w:proofErr w:type="gramStart"/>
              <w:r w:rsidRPr="00AD4120">
                <w:rPr>
                  <w:rStyle w:val="Hyperlink"/>
                  <w:rFonts w:ascii="Times New Roman" w:hAnsi="Times New Roman" w:cs="Times New Roman"/>
                </w:rPr>
                <w:t>tensioned</w:t>
              </w:r>
              <w:proofErr w:type="gramEnd"/>
              <w:r w:rsidRPr="00AD4120">
                <w:rPr>
                  <w:rStyle w:val="Hyperlink"/>
                  <w:rFonts w:ascii="Times New Roman" w:hAnsi="Times New Roman" w:cs="Times New Roman"/>
                </w:rPr>
                <w:t xml:space="preserve"> Precast Columns for Accelerated Bridge Construction in High Seismic Regions</w:t>
              </w:r>
            </w:hyperlink>
          </w:p>
          <w:p w14:paraId="2BF28562" w14:textId="3B7A2AE9" w:rsidR="00FB5ED2" w:rsidRDefault="00FB5ED2" w:rsidP="00FB5ED2">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Paper – </w:t>
            </w:r>
            <w:hyperlink r:id="rId7" w:history="1">
              <w:r w:rsidRPr="00FB5ED2">
                <w:rPr>
                  <w:rStyle w:val="Hyperlink"/>
                  <w:rFonts w:ascii="Times New Roman" w:hAnsi="Times New Roman" w:cs="Times New Roman"/>
                </w:rPr>
                <w:t>Resilient Posttensioned Bridge Bent with Buckling Restrained Brace</w:t>
              </w:r>
            </w:hyperlink>
          </w:p>
          <w:p w14:paraId="6A7F853B" w14:textId="00F20C4E" w:rsidR="00FB5ED2" w:rsidRPr="00576C36" w:rsidRDefault="00FB5ED2" w:rsidP="00576C36">
            <w:pPr>
              <w:pStyle w:val="ListParagraph"/>
              <w:numPr>
                <w:ilvl w:val="0"/>
                <w:numId w:val="2"/>
              </w:numPr>
              <w:spacing w:after="120"/>
              <w:ind w:left="418"/>
              <w:contextualSpacing w:val="0"/>
              <w:rPr>
                <w:rFonts w:ascii="Times New Roman" w:hAnsi="Times New Roman" w:cs="Times New Roman"/>
              </w:rPr>
            </w:pPr>
            <w:r>
              <w:rPr>
                <w:rFonts w:ascii="Times New Roman" w:hAnsi="Times New Roman" w:cs="Times New Roman"/>
              </w:rPr>
              <w:t xml:space="preserve">Journal Paper – </w:t>
            </w:r>
            <w:hyperlink r:id="rId8" w:history="1">
              <w:r w:rsidRPr="00FB5ED2">
                <w:rPr>
                  <w:rStyle w:val="Hyperlink"/>
                  <w:rFonts w:ascii="Times New Roman" w:hAnsi="Times New Roman" w:cs="Times New Roman"/>
                </w:rPr>
                <w:t>Experimental Evaluation of Post-tensioned Bridge Bent under Cyclic Loads and Comparison to Hybrid Bridge Bents</w:t>
              </w:r>
            </w:hyperlink>
          </w:p>
        </w:tc>
      </w:tr>
    </w:tbl>
    <w:p w14:paraId="2BA86569" w14:textId="77777777" w:rsidR="006369C0" w:rsidRPr="00620FAB" w:rsidRDefault="006369C0">
      <w:pPr>
        <w:rPr>
          <w:rFonts w:ascii="Times New Roman" w:hAnsi="Times New Roman" w:cs="Times New Roman"/>
        </w:rPr>
      </w:pPr>
    </w:p>
    <w:sectPr w:rsidR="006369C0" w:rsidRPr="00620FAB"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FDE2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722112">
    <w:abstractNumId w:val="3"/>
  </w:num>
  <w:num w:numId="2" w16cid:durableId="353464140">
    <w:abstractNumId w:val="1"/>
  </w:num>
  <w:num w:numId="3" w16cid:durableId="521355935">
    <w:abstractNumId w:val="4"/>
  </w:num>
  <w:num w:numId="4" w16cid:durableId="1340934329">
    <w:abstractNumId w:val="2"/>
  </w:num>
  <w:num w:numId="5" w16cid:durableId="1315574092">
    <w:abstractNumId w:val="0"/>
  </w:num>
  <w:num w:numId="6" w16cid:durableId="448285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1290E"/>
    <w:rsid w:val="00036F2D"/>
    <w:rsid w:val="000373A9"/>
    <w:rsid w:val="000502B3"/>
    <w:rsid w:val="000505B4"/>
    <w:rsid w:val="0005162D"/>
    <w:rsid w:val="000554DF"/>
    <w:rsid w:val="00055F72"/>
    <w:rsid w:val="000639A7"/>
    <w:rsid w:val="000722B1"/>
    <w:rsid w:val="00073362"/>
    <w:rsid w:val="00083487"/>
    <w:rsid w:val="000A6B14"/>
    <w:rsid w:val="000E6251"/>
    <w:rsid w:val="000F25D1"/>
    <w:rsid w:val="000F3EED"/>
    <w:rsid w:val="00141F21"/>
    <w:rsid w:val="00144705"/>
    <w:rsid w:val="00156068"/>
    <w:rsid w:val="001612F5"/>
    <w:rsid w:val="00167D11"/>
    <w:rsid w:val="001710A6"/>
    <w:rsid w:val="0017516D"/>
    <w:rsid w:val="00176F1C"/>
    <w:rsid w:val="00182779"/>
    <w:rsid w:val="00191E7F"/>
    <w:rsid w:val="00194A73"/>
    <w:rsid w:val="001B74CD"/>
    <w:rsid w:val="001D0048"/>
    <w:rsid w:val="001D1BB3"/>
    <w:rsid w:val="001F2747"/>
    <w:rsid w:val="00200B97"/>
    <w:rsid w:val="00202273"/>
    <w:rsid w:val="002041EF"/>
    <w:rsid w:val="0021507A"/>
    <w:rsid w:val="002201AC"/>
    <w:rsid w:val="002241F0"/>
    <w:rsid w:val="00247718"/>
    <w:rsid w:val="00250684"/>
    <w:rsid w:val="00251455"/>
    <w:rsid w:val="00265E1D"/>
    <w:rsid w:val="002A02C7"/>
    <w:rsid w:val="002A7D96"/>
    <w:rsid w:val="002B4105"/>
    <w:rsid w:val="002D0AA3"/>
    <w:rsid w:val="002F44C5"/>
    <w:rsid w:val="002F6FE5"/>
    <w:rsid w:val="003113AA"/>
    <w:rsid w:val="00345ECC"/>
    <w:rsid w:val="003470FA"/>
    <w:rsid w:val="00352F16"/>
    <w:rsid w:val="00357985"/>
    <w:rsid w:val="003771C8"/>
    <w:rsid w:val="0037769A"/>
    <w:rsid w:val="00381A7C"/>
    <w:rsid w:val="00382035"/>
    <w:rsid w:val="003A1F97"/>
    <w:rsid w:val="003B6493"/>
    <w:rsid w:val="003E378B"/>
    <w:rsid w:val="003F4CA3"/>
    <w:rsid w:val="00400D46"/>
    <w:rsid w:val="0041641D"/>
    <w:rsid w:val="0042016D"/>
    <w:rsid w:val="00420A9E"/>
    <w:rsid w:val="004222E3"/>
    <w:rsid w:val="00430174"/>
    <w:rsid w:val="0043128E"/>
    <w:rsid w:val="004519D5"/>
    <w:rsid w:val="004549E3"/>
    <w:rsid w:val="00461EFB"/>
    <w:rsid w:val="00463B5F"/>
    <w:rsid w:val="00465817"/>
    <w:rsid w:val="00471D9C"/>
    <w:rsid w:val="004801CC"/>
    <w:rsid w:val="00485BE3"/>
    <w:rsid w:val="004A27BF"/>
    <w:rsid w:val="004B070F"/>
    <w:rsid w:val="004B684F"/>
    <w:rsid w:val="004B7858"/>
    <w:rsid w:val="004D13A5"/>
    <w:rsid w:val="004D2D48"/>
    <w:rsid w:val="004E13DC"/>
    <w:rsid w:val="004E2473"/>
    <w:rsid w:val="005103AC"/>
    <w:rsid w:val="00520CCC"/>
    <w:rsid w:val="00522A6B"/>
    <w:rsid w:val="005418BF"/>
    <w:rsid w:val="0055016C"/>
    <w:rsid w:val="005739F2"/>
    <w:rsid w:val="00576C36"/>
    <w:rsid w:val="00591E92"/>
    <w:rsid w:val="00592B8A"/>
    <w:rsid w:val="005A34A9"/>
    <w:rsid w:val="005C5EFC"/>
    <w:rsid w:val="005D64F4"/>
    <w:rsid w:val="005E1A27"/>
    <w:rsid w:val="00607128"/>
    <w:rsid w:val="006133F6"/>
    <w:rsid w:val="00620ED9"/>
    <w:rsid w:val="00620FAB"/>
    <w:rsid w:val="00626C8E"/>
    <w:rsid w:val="00633CBF"/>
    <w:rsid w:val="00636073"/>
    <w:rsid w:val="00636265"/>
    <w:rsid w:val="006369C0"/>
    <w:rsid w:val="00644861"/>
    <w:rsid w:val="006547BC"/>
    <w:rsid w:val="006740CA"/>
    <w:rsid w:val="006770E3"/>
    <w:rsid w:val="00692D86"/>
    <w:rsid w:val="006B398F"/>
    <w:rsid w:val="006B5186"/>
    <w:rsid w:val="006C5A77"/>
    <w:rsid w:val="0071185B"/>
    <w:rsid w:val="00720E9C"/>
    <w:rsid w:val="007247F1"/>
    <w:rsid w:val="00725E11"/>
    <w:rsid w:val="0073654F"/>
    <w:rsid w:val="00757D9E"/>
    <w:rsid w:val="007700A5"/>
    <w:rsid w:val="00772519"/>
    <w:rsid w:val="007842DA"/>
    <w:rsid w:val="00784948"/>
    <w:rsid w:val="0079432C"/>
    <w:rsid w:val="007A0C7D"/>
    <w:rsid w:val="007C24D2"/>
    <w:rsid w:val="007C2BA0"/>
    <w:rsid w:val="007C4E20"/>
    <w:rsid w:val="007C5540"/>
    <w:rsid w:val="007C6A8C"/>
    <w:rsid w:val="007E3202"/>
    <w:rsid w:val="007F1224"/>
    <w:rsid w:val="007F1C7C"/>
    <w:rsid w:val="00820860"/>
    <w:rsid w:val="0082095E"/>
    <w:rsid w:val="00821337"/>
    <w:rsid w:val="00832B74"/>
    <w:rsid w:val="0083302C"/>
    <w:rsid w:val="00834DD0"/>
    <w:rsid w:val="00841253"/>
    <w:rsid w:val="0085153B"/>
    <w:rsid w:val="00853B68"/>
    <w:rsid w:val="00863038"/>
    <w:rsid w:val="008733FB"/>
    <w:rsid w:val="008C0554"/>
    <w:rsid w:val="008C4D3A"/>
    <w:rsid w:val="008D4AD9"/>
    <w:rsid w:val="008E2450"/>
    <w:rsid w:val="00911460"/>
    <w:rsid w:val="009412AE"/>
    <w:rsid w:val="00947EC7"/>
    <w:rsid w:val="009504EC"/>
    <w:rsid w:val="00965801"/>
    <w:rsid w:val="00965963"/>
    <w:rsid w:val="0098520A"/>
    <w:rsid w:val="009B1A05"/>
    <w:rsid w:val="009B37D0"/>
    <w:rsid w:val="009B6455"/>
    <w:rsid w:val="009D1318"/>
    <w:rsid w:val="009D61B8"/>
    <w:rsid w:val="009D71A7"/>
    <w:rsid w:val="009E32AE"/>
    <w:rsid w:val="009F682D"/>
    <w:rsid w:val="00A06B49"/>
    <w:rsid w:val="00A1029D"/>
    <w:rsid w:val="00A22E07"/>
    <w:rsid w:val="00A326E7"/>
    <w:rsid w:val="00A35353"/>
    <w:rsid w:val="00A42DF6"/>
    <w:rsid w:val="00A45293"/>
    <w:rsid w:val="00A46100"/>
    <w:rsid w:val="00A47880"/>
    <w:rsid w:val="00A61223"/>
    <w:rsid w:val="00A61B30"/>
    <w:rsid w:val="00A7297B"/>
    <w:rsid w:val="00A852B0"/>
    <w:rsid w:val="00AA5BEB"/>
    <w:rsid w:val="00AB37E5"/>
    <w:rsid w:val="00AC3C67"/>
    <w:rsid w:val="00AC6B81"/>
    <w:rsid w:val="00AC7284"/>
    <w:rsid w:val="00AD1BD6"/>
    <w:rsid w:val="00AD4120"/>
    <w:rsid w:val="00AD65C1"/>
    <w:rsid w:val="00AD6E8F"/>
    <w:rsid w:val="00AE2AF2"/>
    <w:rsid w:val="00AE5B09"/>
    <w:rsid w:val="00AF4DBA"/>
    <w:rsid w:val="00B01048"/>
    <w:rsid w:val="00B14DE6"/>
    <w:rsid w:val="00B42EF8"/>
    <w:rsid w:val="00B435E3"/>
    <w:rsid w:val="00B50C0C"/>
    <w:rsid w:val="00B554FD"/>
    <w:rsid w:val="00B56CF1"/>
    <w:rsid w:val="00B56F4F"/>
    <w:rsid w:val="00B63F87"/>
    <w:rsid w:val="00B65EB3"/>
    <w:rsid w:val="00B80F8E"/>
    <w:rsid w:val="00B93CEF"/>
    <w:rsid w:val="00B95278"/>
    <w:rsid w:val="00BA79E0"/>
    <w:rsid w:val="00BB1320"/>
    <w:rsid w:val="00BC4E0F"/>
    <w:rsid w:val="00BD2E5F"/>
    <w:rsid w:val="00BF12EC"/>
    <w:rsid w:val="00BF275C"/>
    <w:rsid w:val="00C010B9"/>
    <w:rsid w:val="00C05C39"/>
    <w:rsid w:val="00C1254F"/>
    <w:rsid w:val="00C24EBB"/>
    <w:rsid w:val="00C537EA"/>
    <w:rsid w:val="00C5701A"/>
    <w:rsid w:val="00C7764F"/>
    <w:rsid w:val="00C86AC4"/>
    <w:rsid w:val="00C93D8B"/>
    <w:rsid w:val="00C971CF"/>
    <w:rsid w:val="00CA2CF5"/>
    <w:rsid w:val="00CE1984"/>
    <w:rsid w:val="00CE5260"/>
    <w:rsid w:val="00CE6956"/>
    <w:rsid w:val="00CF3C6A"/>
    <w:rsid w:val="00D415CF"/>
    <w:rsid w:val="00D50207"/>
    <w:rsid w:val="00D5379D"/>
    <w:rsid w:val="00D64013"/>
    <w:rsid w:val="00D74215"/>
    <w:rsid w:val="00D76096"/>
    <w:rsid w:val="00D95BC3"/>
    <w:rsid w:val="00DA3693"/>
    <w:rsid w:val="00DA713E"/>
    <w:rsid w:val="00DB4ECC"/>
    <w:rsid w:val="00DB767A"/>
    <w:rsid w:val="00DC234C"/>
    <w:rsid w:val="00DE700B"/>
    <w:rsid w:val="00DE7E9D"/>
    <w:rsid w:val="00DF3B4C"/>
    <w:rsid w:val="00E22AC0"/>
    <w:rsid w:val="00E2770B"/>
    <w:rsid w:val="00E3612D"/>
    <w:rsid w:val="00E4047F"/>
    <w:rsid w:val="00E41F2E"/>
    <w:rsid w:val="00E52614"/>
    <w:rsid w:val="00E562BD"/>
    <w:rsid w:val="00E570E2"/>
    <w:rsid w:val="00E67770"/>
    <w:rsid w:val="00E75B7F"/>
    <w:rsid w:val="00E90782"/>
    <w:rsid w:val="00EB69C5"/>
    <w:rsid w:val="00ED3425"/>
    <w:rsid w:val="00EE3DC8"/>
    <w:rsid w:val="00EE529C"/>
    <w:rsid w:val="00F04DF2"/>
    <w:rsid w:val="00F108C6"/>
    <w:rsid w:val="00F13AEB"/>
    <w:rsid w:val="00F15F66"/>
    <w:rsid w:val="00F20199"/>
    <w:rsid w:val="00F20FA0"/>
    <w:rsid w:val="00F23ED6"/>
    <w:rsid w:val="00F25513"/>
    <w:rsid w:val="00F33865"/>
    <w:rsid w:val="00F35FAC"/>
    <w:rsid w:val="00F45EA0"/>
    <w:rsid w:val="00F50059"/>
    <w:rsid w:val="00F52768"/>
    <w:rsid w:val="00F6271A"/>
    <w:rsid w:val="00F66594"/>
    <w:rsid w:val="00F67BC5"/>
    <w:rsid w:val="00F80C7F"/>
    <w:rsid w:val="00F96D62"/>
    <w:rsid w:val="00FA3870"/>
    <w:rsid w:val="00FA3CBC"/>
    <w:rsid w:val="00FA5E45"/>
    <w:rsid w:val="00FB5ED2"/>
    <w:rsid w:val="00FD17F5"/>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F6EEF"/>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paragraph" w:styleId="Heading1">
    <w:name w:val="heading 1"/>
    <w:basedOn w:val="Normal"/>
    <w:next w:val="Normal"/>
    <w:link w:val="Heading1Char"/>
    <w:uiPriority w:val="9"/>
    <w:qFormat/>
    <w:rsid w:val="00FD5E85"/>
    <w:pPr>
      <w:keepNext/>
      <w:keepLines/>
      <w:spacing w:after="120"/>
      <w:outlineLvl w:val="0"/>
    </w:pPr>
    <w:rPr>
      <w:rFonts w:ascii="Times New Roman" w:eastAsiaTheme="majorEastAsia" w:hAnsi="Times New Roman" w:cstheme="majorBidi"/>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D4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gstruct.2022.113962" TargetMode="External"/><Relationship Id="rId3" Type="http://schemas.openxmlformats.org/officeDocument/2006/relationships/styles" Target="styles.xml"/><Relationship Id="rId7" Type="http://schemas.openxmlformats.org/officeDocument/2006/relationships/hyperlink" Target="https://doi.org/10.1061/(ASCE)BE.1943-5592.00018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97"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9517E-5D7E-4A35-98FD-86518F80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UTC Project Information | Hybrid Bridge Bents Using Post-tensioned Precast Columns for Accelerated Bridge Construction in High Seismic Regions</vt:lpstr>
    </vt:vector>
  </TitlesOfParts>
  <Company>DOT</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Hybrid Bridge Bents Using Post-tensioned Precast Columns for Accelerated Bridge Construction in High Seismic Regions</dc:title>
  <dc:creator/>
  <cp:lastModifiedBy>Nichols, Patrick</cp:lastModifiedBy>
  <cp:revision>33</cp:revision>
  <cp:lastPrinted>2016-12-22T20:35:00Z</cp:lastPrinted>
  <dcterms:created xsi:type="dcterms:W3CDTF">2019-01-17T15:14:00Z</dcterms:created>
  <dcterms:modified xsi:type="dcterms:W3CDTF">2022-10-17T16:42:00Z</dcterms:modified>
</cp:coreProperties>
</file>