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075" w:type="dxa"/>
        <w:jc w:val="center"/>
        <w:tblCellMar>
          <w:top w:w="72" w:type="dxa"/>
          <w:left w:w="115" w:type="dxa"/>
          <w:bottom w:w="72" w:type="dxa"/>
          <w:right w:w="144" w:type="dxa"/>
        </w:tblCellMar>
        <w:tblLook w:val="0400" w:firstRow="0" w:lastRow="0" w:firstColumn="0" w:lastColumn="0" w:noHBand="0" w:noVBand="1"/>
      </w:tblPr>
      <w:tblGrid>
        <w:gridCol w:w="3685"/>
        <w:gridCol w:w="6390"/>
      </w:tblGrid>
      <w:tr w:rsidR="006369C0" w:rsidRPr="004B070F" w14:paraId="57308D8C" w14:textId="77777777" w:rsidTr="00C91A87">
        <w:trPr>
          <w:jc w:val="center"/>
        </w:trPr>
        <w:tc>
          <w:tcPr>
            <w:tcW w:w="10075" w:type="dxa"/>
            <w:gridSpan w:val="2"/>
          </w:tcPr>
          <w:p w14:paraId="38134AFD" w14:textId="77777777" w:rsidR="006369C0" w:rsidRPr="004B070F" w:rsidRDefault="006369C0">
            <w:pPr>
              <w:rPr>
                <w:rFonts w:cs="Times New Roman"/>
                <w:b/>
                <w:sz w:val="28"/>
                <w:szCs w:val="28"/>
              </w:rPr>
            </w:pPr>
            <w:r w:rsidRPr="004B070F">
              <w:rPr>
                <w:rFonts w:cs="Times New Roman"/>
                <w:b/>
                <w:sz w:val="28"/>
                <w:szCs w:val="28"/>
              </w:rPr>
              <w:t>UTC  Project  Information</w:t>
            </w:r>
          </w:p>
        </w:tc>
      </w:tr>
      <w:tr w:rsidR="006369C0" w:rsidRPr="004B070F" w14:paraId="7F954701" w14:textId="77777777" w:rsidTr="00C91A87">
        <w:trPr>
          <w:jc w:val="center"/>
        </w:trPr>
        <w:tc>
          <w:tcPr>
            <w:tcW w:w="3685" w:type="dxa"/>
          </w:tcPr>
          <w:p w14:paraId="7CB31231" w14:textId="77777777" w:rsidR="006369C0" w:rsidRPr="004B070F" w:rsidRDefault="006369C0">
            <w:pPr>
              <w:rPr>
                <w:rFonts w:cs="Times New Roman"/>
              </w:rPr>
            </w:pPr>
            <w:r>
              <w:rPr>
                <w:rFonts w:cs="Times New Roman"/>
              </w:rPr>
              <w:t>Project Title</w:t>
            </w:r>
          </w:p>
        </w:tc>
        <w:tc>
          <w:tcPr>
            <w:tcW w:w="6390" w:type="dxa"/>
          </w:tcPr>
          <w:p w14:paraId="7CCDD5F0" w14:textId="77777777" w:rsidR="006369C0" w:rsidRPr="004B7858" w:rsidRDefault="00DF4B34" w:rsidP="007C4B35">
            <w:pPr>
              <w:rPr>
                <w:rFonts w:cs="Times New Roman"/>
                <w:szCs w:val="24"/>
              </w:rPr>
            </w:pPr>
            <w:r>
              <w:rPr>
                <w:rFonts w:cs="Times New Roman"/>
                <w:noProof/>
                <w:szCs w:val="24"/>
              </w:rPr>
              <w:t>MPC-603</w:t>
            </w:r>
            <w:r w:rsidR="006369C0">
              <w:rPr>
                <w:rFonts w:cs="Times New Roman"/>
                <w:szCs w:val="24"/>
              </w:rPr>
              <w:t xml:space="preserve"> – </w:t>
            </w:r>
            <w:r w:rsidRPr="00DF4B34">
              <w:rPr>
                <w:rFonts w:cs="Times New Roman"/>
                <w:szCs w:val="24"/>
              </w:rPr>
              <w:t>Investigating Bicyclist Safety Perceptions and Behaviors at Roundabouts</w:t>
            </w:r>
          </w:p>
        </w:tc>
      </w:tr>
      <w:tr w:rsidR="006369C0" w:rsidRPr="004B070F" w14:paraId="7CB2B045" w14:textId="77777777" w:rsidTr="00C91A87">
        <w:trPr>
          <w:jc w:val="center"/>
        </w:trPr>
        <w:tc>
          <w:tcPr>
            <w:tcW w:w="3685" w:type="dxa"/>
          </w:tcPr>
          <w:p w14:paraId="1CD1E415" w14:textId="77777777" w:rsidR="006369C0" w:rsidRPr="004B070F" w:rsidRDefault="006369C0">
            <w:pPr>
              <w:rPr>
                <w:rFonts w:cs="Times New Roman"/>
              </w:rPr>
            </w:pPr>
            <w:r>
              <w:rPr>
                <w:rFonts w:cs="Times New Roman"/>
              </w:rPr>
              <w:t>University</w:t>
            </w:r>
          </w:p>
        </w:tc>
        <w:tc>
          <w:tcPr>
            <w:tcW w:w="6390" w:type="dxa"/>
          </w:tcPr>
          <w:p w14:paraId="3B27B0B4" w14:textId="77777777" w:rsidR="006369C0" w:rsidRPr="004B7858" w:rsidRDefault="00001B9F" w:rsidP="00C1254F">
            <w:pPr>
              <w:jc w:val="both"/>
              <w:rPr>
                <w:rFonts w:eastAsia="Calibri" w:cs="Times New Roman"/>
                <w:szCs w:val="24"/>
              </w:rPr>
            </w:pPr>
            <w:r w:rsidRPr="00001B9F">
              <w:rPr>
                <w:rFonts w:eastAsia="Calibri" w:cs="Times New Roman"/>
                <w:szCs w:val="24"/>
              </w:rPr>
              <w:t>Utah State University</w:t>
            </w:r>
          </w:p>
        </w:tc>
      </w:tr>
      <w:tr w:rsidR="006369C0" w:rsidRPr="004B070F" w14:paraId="5969C066" w14:textId="77777777" w:rsidTr="00C91A87">
        <w:trPr>
          <w:jc w:val="center"/>
        </w:trPr>
        <w:tc>
          <w:tcPr>
            <w:tcW w:w="3685" w:type="dxa"/>
          </w:tcPr>
          <w:p w14:paraId="6E2140D3" w14:textId="77777777" w:rsidR="006369C0" w:rsidRPr="004B070F" w:rsidRDefault="006369C0">
            <w:pPr>
              <w:rPr>
                <w:rFonts w:cs="Times New Roman"/>
              </w:rPr>
            </w:pPr>
            <w:r>
              <w:rPr>
                <w:rFonts w:cs="Times New Roman"/>
              </w:rPr>
              <w:t>Principal Investigator</w:t>
            </w:r>
          </w:p>
        </w:tc>
        <w:tc>
          <w:tcPr>
            <w:tcW w:w="6390" w:type="dxa"/>
          </w:tcPr>
          <w:p w14:paraId="0CC0BEF0" w14:textId="77777777" w:rsidR="002E5203" w:rsidRPr="00A5155B" w:rsidRDefault="00EF72E1" w:rsidP="00A5155B">
            <w:pPr>
              <w:rPr>
                <w:rFonts w:cs="Times New Roman"/>
                <w:noProof/>
                <w:szCs w:val="24"/>
              </w:rPr>
            </w:pPr>
            <w:r w:rsidRPr="00EF72E1">
              <w:rPr>
                <w:rFonts w:cs="Times New Roman"/>
                <w:noProof/>
                <w:szCs w:val="24"/>
              </w:rPr>
              <w:t>Patrick A. Singleton, Ph.D.</w:t>
            </w:r>
          </w:p>
        </w:tc>
      </w:tr>
      <w:tr w:rsidR="006369C0" w:rsidRPr="004B070F" w14:paraId="45738AFA" w14:textId="77777777" w:rsidTr="00C91A87">
        <w:trPr>
          <w:jc w:val="center"/>
        </w:trPr>
        <w:tc>
          <w:tcPr>
            <w:tcW w:w="3685" w:type="dxa"/>
          </w:tcPr>
          <w:p w14:paraId="4906E045" w14:textId="77777777" w:rsidR="006369C0" w:rsidRPr="004B070F" w:rsidRDefault="006369C0">
            <w:pPr>
              <w:rPr>
                <w:rFonts w:cs="Times New Roman"/>
              </w:rPr>
            </w:pPr>
            <w:r>
              <w:rPr>
                <w:rFonts w:cs="Times New Roman"/>
              </w:rPr>
              <w:t>PI Contact Information</w:t>
            </w:r>
          </w:p>
        </w:tc>
        <w:tc>
          <w:tcPr>
            <w:tcW w:w="6390" w:type="dxa"/>
          </w:tcPr>
          <w:p w14:paraId="27D6A164" w14:textId="77777777" w:rsidR="00EF72E1" w:rsidRPr="00EF72E1" w:rsidRDefault="00EF72E1" w:rsidP="00EF72E1">
            <w:pPr>
              <w:rPr>
                <w:rFonts w:cs="Times New Roman"/>
                <w:noProof/>
                <w:szCs w:val="24"/>
              </w:rPr>
            </w:pPr>
            <w:r w:rsidRPr="00EF72E1">
              <w:rPr>
                <w:rFonts w:cs="Times New Roman"/>
                <w:noProof/>
                <w:szCs w:val="24"/>
              </w:rPr>
              <w:t>Assistant Professor</w:t>
            </w:r>
          </w:p>
          <w:p w14:paraId="6FFA4980" w14:textId="77777777" w:rsidR="00EF72E1" w:rsidRPr="00EF72E1" w:rsidRDefault="00EF72E1" w:rsidP="00EF72E1">
            <w:pPr>
              <w:rPr>
                <w:rFonts w:cs="Times New Roman"/>
                <w:noProof/>
                <w:szCs w:val="24"/>
              </w:rPr>
            </w:pPr>
            <w:r w:rsidRPr="00EF72E1">
              <w:rPr>
                <w:rFonts w:cs="Times New Roman"/>
                <w:noProof/>
                <w:szCs w:val="24"/>
              </w:rPr>
              <w:t>Department of Civil and Environmental Engineering</w:t>
            </w:r>
          </w:p>
          <w:p w14:paraId="6FE29AF9" w14:textId="77777777" w:rsidR="00EF72E1" w:rsidRPr="00EF72E1" w:rsidRDefault="00EF72E1" w:rsidP="00EF72E1">
            <w:pPr>
              <w:rPr>
                <w:rFonts w:cs="Times New Roman"/>
                <w:noProof/>
                <w:szCs w:val="24"/>
              </w:rPr>
            </w:pPr>
            <w:r w:rsidRPr="00EF72E1">
              <w:rPr>
                <w:rFonts w:cs="Times New Roman"/>
                <w:noProof/>
                <w:szCs w:val="24"/>
              </w:rPr>
              <w:t>Utah State University</w:t>
            </w:r>
          </w:p>
          <w:p w14:paraId="63603CD0" w14:textId="77777777" w:rsidR="00EF72E1" w:rsidRPr="00EF72E1" w:rsidRDefault="00EF72E1" w:rsidP="00EF72E1">
            <w:pPr>
              <w:rPr>
                <w:rFonts w:cs="Times New Roman"/>
                <w:noProof/>
                <w:szCs w:val="24"/>
              </w:rPr>
            </w:pPr>
            <w:r w:rsidRPr="00EF72E1">
              <w:rPr>
                <w:rFonts w:cs="Times New Roman"/>
                <w:noProof/>
                <w:szCs w:val="24"/>
              </w:rPr>
              <w:t>Phone: (435) 797-7109</w:t>
            </w:r>
          </w:p>
          <w:p w14:paraId="7E09E93A" w14:textId="77777777" w:rsidR="00EF72E1" w:rsidRPr="00EF72E1" w:rsidRDefault="00EF72E1" w:rsidP="00EF72E1">
            <w:pPr>
              <w:rPr>
                <w:rFonts w:cs="Times New Roman"/>
                <w:noProof/>
                <w:szCs w:val="24"/>
              </w:rPr>
            </w:pPr>
            <w:r w:rsidRPr="00EF72E1">
              <w:rPr>
                <w:rFonts w:cs="Times New Roman"/>
                <w:noProof/>
                <w:szCs w:val="24"/>
              </w:rPr>
              <w:t>Email: patrick.singleton@usu.edu</w:t>
            </w:r>
          </w:p>
          <w:p w14:paraId="5D4544F6" w14:textId="77777777" w:rsidR="006369C0" w:rsidRDefault="00EF72E1" w:rsidP="00EF72E1">
            <w:pPr>
              <w:rPr>
                <w:rFonts w:cs="Times New Roman"/>
                <w:noProof/>
                <w:szCs w:val="24"/>
              </w:rPr>
            </w:pPr>
            <w:r w:rsidRPr="00EF72E1">
              <w:rPr>
                <w:rFonts w:cs="Times New Roman"/>
                <w:noProof/>
                <w:szCs w:val="24"/>
              </w:rPr>
              <w:t>ORCID: 0000-0002-9319-2333</w:t>
            </w:r>
          </w:p>
        </w:tc>
      </w:tr>
      <w:tr w:rsidR="006369C0" w:rsidRPr="004B070F" w14:paraId="1A949285" w14:textId="77777777" w:rsidTr="00C91A87">
        <w:trPr>
          <w:jc w:val="center"/>
        </w:trPr>
        <w:tc>
          <w:tcPr>
            <w:tcW w:w="3685" w:type="dxa"/>
          </w:tcPr>
          <w:p w14:paraId="7CA76B17" w14:textId="77777777" w:rsidR="006369C0" w:rsidRPr="004B070F" w:rsidRDefault="006369C0" w:rsidP="00947EC7">
            <w:pPr>
              <w:rPr>
                <w:rFonts w:cs="Times New Roman"/>
              </w:rPr>
            </w:pPr>
            <w:r w:rsidRPr="004B070F">
              <w:rPr>
                <w:rFonts w:cs="Times New Roman"/>
              </w:rPr>
              <w:t xml:space="preserve">Funding </w:t>
            </w:r>
            <w:r>
              <w:rPr>
                <w:rFonts w:cs="Times New Roman"/>
              </w:rPr>
              <w:t>Source(s) and Amounts Provided (by each agency or organization)</w:t>
            </w:r>
          </w:p>
        </w:tc>
        <w:tc>
          <w:tcPr>
            <w:tcW w:w="6390" w:type="dxa"/>
          </w:tcPr>
          <w:p w14:paraId="3DC43C21" w14:textId="77777777" w:rsidR="006369C0" w:rsidRDefault="006369C0">
            <w:pPr>
              <w:rPr>
                <w:rFonts w:cs="Times New Roman"/>
              </w:rPr>
            </w:pPr>
            <w:r w:rsidRPr="00432B0E">
              <w:rPr>
                <w:rFonts w:cs="Times New Roman"/>
                <w:noProof/>
              </w:rPr>
              <w:t>USDOT, Research and Innovative Technology Administration</w:t>
            </w:r>
          </w:p>
          <w:p w14:paraId="3738BC4B" w14:textId="7F6B8988" w:rsidR="006369C0" w:rsidRDefault="00B14DE6" w:rsidP="001D5044">
            <w:pPr>
              <w:spacing w:after="240"/>
              <w:rPr>
                <w:rFonts w:cs="Times New Roman"/>
              </w:rPr>
            </w:pPr>
            <w:r w:rsidRPr="00B14DE6">
              <w:rPr>
                <w:rFonts w:cs="Times New Roman"/>
              </w:rPr>
              <w:t>$</w:t>
            </w:r>
            <w:r w:rsidR="001F6987" w:rsidRPr="001F6987">
              <w:rPr>
                <w:rFonts w:cs="Times New Roman"/>
              </w:rPr>
              <w:t>49,998.91</w:t>
            </w:r>
          </w:p>
          <w:p w14:paraId="169C5B4C" w14:textId="77777777" w:rsidR="006369C0" w:rsidRDefault="001F6987" w:rsidP="00B50C0C">
            <w:pPr>
              <w:rPr>
                <w:rFonts w:cs="Times New Roman"/>
              </w:rPr>
            </w:pPr>
            <w:r w:rsidRPr="001F6987">
              <w:rPr>
                <w:rFonts w:cs="Times New Roman"/>
              </w:rPr>
              <w:t>Local Technical Assistance Program</w:t>
            </w:r>
          </w:p>
          <w:p w14:paraId="0767221E" w14:textId="77777777" w:rsidR="006369C0" w:rsidRPr="004B070F" w:rsidRDefault="00B14DE6" w:rsidP="00E21FBA">
            <w:pPr>
              <w:rPr>
                <w:rFonts w:cs="Times New Roman"/>
              </w:rPr>
            </w:pPr>
            <w:r w:rsidRPr="00B14DE6">
              <w:rPr>
                <w:rFonts w:cs="Times New Roman"/>
              </w:rPr>
              <w:t>$</w:t>
            </w:r>
            <w:r w:rsidR="001F6987" w:rsidRPr="001F6987">
              <w:rPr>
                <w:rFonts w:cs="Times New Roman"/>
              </w:rPr>
              <w:t>49,998.91</w:t>
            </w:r>
          </w:p>
        </w:tc>
      </w:tr>
      <w:tr w:rsidR="006369C0" w:rsidRPr="004B070F" w14:paraId="2A50AA1B" w14:textId="77777777" w:rsidTr="00C91A87">
        <w:trPr>
          <w:jc w:val="center"/>
        </w:trPr>
        <w:tc>
          <w:tcPr>
            <w:tcW w:w="3685" w:type="dxa"/>
          </w:tcPr>
          <w:p w14:paraId="50C5C5F1" w14:textId="77777777" w:rsidR="006369C0" w:rsidRPr="004B070F" w:rsidRDefault="006369C0" w:rsidP="00947EC7">
            <w:pPr>
              <w:rPr>
                <w:rFonts w:cs="Times New Roman"/>
              </w:rPr>
            </w:pPr>
            <w:r>
              <w:rPr>
                <w:rFonts w:cs="Times New Roman"/>
              </w:rPr>
              <w:t xml:space="preserve">Total </w:t>
            </w:r>
            <w:r w:rsidRPr="004B070F">
              <w:rPr>
                <w:rFonts w:cs="Times New Roman"/>
              </w:rPr>
              <w:t>Project Cost</w:t>
            </w:r>
          </w:p>
        </w:tc>
        <w:tc>
          <w:tcPr>
            <w:tcW w:w="6390" w:type="dxa"/>
          </w:tcPr>
          <w:p w14:paraId="4E478F48" w14:textId="77777777" w:rsidR="006369C0" w:rsidRDefault="00E3612D" w:rsidP="00900C47">
            <w:pPr>
              <w:rPr>
                <w:rFonts w:cs="Times New Roman"/>
              </w:rPr>
            </w:pPr>
            <w:r w:rsidRPr="00E3612D">
              <w:rPr>
                <w:rFonts w:eastAsia="Times New Roman" w:cs="Times New Roman"/>
                <w:noProof/>
                <w:color w:val="000000"/>
                <w:szCs w:val="24"/>
              </w:rPr>
              <w:t>$</w:t>
            </w:r>
            <w:r w:rsidR="008353A1" w:rsidRPr="008353A1">
              <w:rPr>
                <w:rFonts w:eastAsia="Times New Roman" w:cs="Times New Roman"/>
                <w:noProof/>
                <w:color w:val="000000"/>
                <w:szCs w:val="24"/>
              </w:rPr>
              <w:t>99,997.82</w:t>
            </w:r>
          </w:p>
        </w:tc>
      </w:tr>
      <w:tr w:rsidR="006369C0" w:rsidRPr="004B070F" w14:paraId="50E84A49" w14:textId="77777777" w:rsidTr="00C91A87">
        <w:trPr>
          <w:jc w:val="center"/>
        </w:trPr>
        <w:tc>
          <w:tcPr>
            <w:tcW w:w="3685" w:type="dxa"/>
          </w:tcPr>
          <w:p w14:paraId="739A8554" w14:textId="77777777" w:rsidR="006369C0" w:rsidRPr="004B070F" w:rsidRDefault="006369C0" w:rsidP="00947EC7">
            <w:pPr>
              <w:rPr>
                <w:rFonts w:cs="Times New Roman"/>
              </w:rPr>
            </w:pPr>
            <w:r w:rsidRPr="004B070F">
              <w:rPr>
                <w:rFonts w:cs="Times New Roman"/>
              </w:rPr>
              <w:t>Agency ID or Contract Number</w:t>
            </w:r>
          </w:p>
        </w:tc>
        <w:tc>
          <w:tcPr>
            <w:tcW w:w="6390" w:type="dxa"/>
          </w:tcPr>
          <w:p w14:paraId="09F9D836" w14:textId="77777777" w:rsidR="006369C0" w:rsidRPr="004B070F" w:rsidRDefault="006369C0">
            <w:pPr>
              <w:rPr>
                <w:rFonts w:cs="Times New Roman"/>
              </w:rPr>
            </w:pPr>
            <w:r w:rsidRPr="00432B0E">
              <w:rPr>
                <w:rFonts w:cs="Times New Roman"/>
                <w:noProof/>
              </w:rPr>
              <w:t>69A3551747108</w:t>
            </w:r>
          </w:p>
        </w:tc>
      </w:tr>
      <w:tr w:rsidR="006369C0" w:rsidRPr="004B070F" w14:paraId="08875E9D" w14:textId="77777777" w:rsidTr="00C91A87">
        <w:trPr>
          <w:jc w:val="center"/>
        </w:trPr>
        <w:tc>
          <w:tcPr>
            <w:tcW w:w="3685" w:type="dxa"/>
          </w:tcPr>
          <w:p w14:paraId="7A76B4F9" w14:textId="77777777" w:rsidR="006369C0" w:rsidRPr="004B070F" w:rsidRDefault="006369C0" w:rsidP="00947EC7">
            <w:pPr>
              <w:rPr>
                <w:rFonts w:cs="Times New Roman"/>
              </w:rPr>
            </w:pPr>
            <w:r>
              <w:rPr>
                <w:rFonts w:cs="Times New Roman"/>
              </w:rPr>
              <w:t>Start and End Dates</w:t>
            </w:r>
          </w:p>
        </w:tc>
        <w:tc>
          <w:tcPr>
            <w:tcW w:w="6390" w:type="dxa"/>
          </w:tcPr>
          <w:p w14:paraId="3709A839" w14:textId="3DC08AAE" w:rsidR="006369C0" w:rsidRPr="004B070F" w:rsidRDefault="003C597A" w:rsidP="003C597A">
            <w:pPr>
              <w:rPr>
                <w:rFonts w:cs="Times New Roman"/>
                <w:highlight w:val="yellow"/>
              </w:rPr>
            </w:pPr>
            <w:r>
              <w:rPr>
                <w:rFonts w:cs="Times New Roman"/>
                <w:noProof/>
              </w:rPr>
              <w:t>July</w:t>
            </w:r>
            <w:r w:rsidR="006369C0" w:rsidRPr="00432B0E">
              <w:rPr>
                <w:rFonts w:cs="Times New Roman"/>
                <w:noProof/>
              </w:rPr>
              <w:t xml:space="preserve"> </w:t>
            </w:r>
            <w:r w:rsidR="008D7A14">
              <w:rPr>
                <w:rFonts w:cs="Times New Roman"/>
                <w:noProof/>
              </w:rPr>
              <w:t>1</w:t>
            </w:r>
            <w:r>
              <w:rPr>
                <w:rFonts w:cs="Times New Roman"/>
                <w:noProof/>
              </w:rPr>
              <w:t>2</w:t>
            </w:r>
            <w:r w:rsidR="006369C0" w:rsidRPr="00432B0E">
              <w:rPr>
                <w:rFonts w:cs="Times New Roman"/>
                <w:noProof/>
              </w:rPr>
              <w:t>, 201</w:t>
            </w:r>
            <w:r w:rsidR="009412AE">
              <w:rPr>
                <w:rFonts w:cs="Times New Roman"/>
                <w:noProof/>
              </w:rPr>
              <w:t>9</w:t>
            </w:r>
            <w:r w:rsidR="006369C0" w:rsidRPr="00432B0E">
              <w:rPr>
                <w:rFonts w:cs="Times New Roman"/>
                <w:noProof/>
              </w:rPr>
              <w:t xml:space="preserve"> to July 31, 202</w:t>
            </w:r>
            <w:r w:rsidR="00B020B8">
              <w:rPr>
                <w:rFonts w:cs="Times New Roman"/>
                <w:noProof/>
              </w:rPr>
              <w:t>4</w:t>
            </w:r>
          </w:p>
        </w:tc>
      </w:tr>
      <w:tr w:rsidR="006369C0" w:rsidRPr="004B070F" w14:paraId="6F4DA617" w14:textId="77777777" w:rsidTr="00C91A87">
        <w:trPr>
          <w:jc w:val="center"/>
        </w:trPr>
        <w:tc>
          <w:tcPr>
            <w:tcW w:w="3685" w:type="dxa"/>
          </w:tcPr>
          <w:p w14:paraId="4C456096" w14:textId="77777777" w:rsidR="006369C0" w:rsidRPr="004B070F" w:rsidRDefault="006369C0">
            <w:pPr>
              <w:rPr>
                <w:rFonts w:cs="Times New Roman"/>
              </w:rPr>
            </w:pPr>
            <w:r w:rsidRPr="004B070F">
              <w:rPr>
                <w:rFonts w:cs="Times New Roman"/>
              </w:rPr>
              <w:t xml:space="preserve">Brief </w:t>
            </w:r>
            <w:r>
              <w:rPr>
                <w:rFonts w:cs="Times New Roman"/>
              </w:rPr>
              <w:t>Description of Research Project</w:t>
            </w:r>
          </w:p>
        </w:tc>
        <w:tc>
          <w:tcPr>
            <w:tcW w:w="6390" w:type="dxa"/>
          </w:tcPr>
          <w:p w14:paraId="6F91749E" w14:textId="2D26D63E" w:rsidR="002C111E" w:rsidRPr="002C111E" w:rsidRDefault="002C111E" w:rsidP="004A0C54">
            <w:pPr>
              <w:spacing w:after="240"/>
              <w:rPr>
                <w:rFonts w:cs="Times New Roman"/>
                <w:noProof/>
                <w:szCs w:val="24"/>
              </w:rPr>
            </w:pPr>
            <w:r w:rsidRPr="002C111E">
              <w:rPr>
                <w:rFonts w:cs="Times New Roman"/>
                <w:noProof/>
                <w:szCs w:val="24"/>
              </w:rPr>
              <w:t>Installing a modern roundabout is a proven safety countermeasure that has been shown to improve intersection safety and operational efficiency in many situations. However, research from Europe (where roundabouts are more common and have been used for longer) suggests that roundabouts have mixed results for bicyclist safety and may even increase vehicle–bicycle crashes. Unfortunately, corresponding evidence for bicyclist safety at roundabouts in US contexts is not readily available, in part because roundabouts and bicycle crashes at roundabouts are less frequent. To overcome this lack of information on objective safety performance, there is a need to study subjective perceptions of safety (and safety-motivated behaviors</w:t>
            </w:r>
            <w:r w:rsidR="005F7C9D">
              <w:rPr>
                <w:rFonts w:cs="Times New Roman"/>
                <w:noProof/>
                <w:szCs w:val="24"/>
              </w:rPr>
              <w:t>) of bicyclists at roundabouts.</w:t>
            </w:r>
          </w:p>
          <w:p w14:paraId="3A33C65D" w14:textId="77777777" w:rsidR="006369C0" w:rsidRPr="004B7858" w:rsidRDefault="002C111E" w:rsidP="004A0C54">
            <w:pPr>
              <w:rPr>
                <w:rFonts w:cs="Times New Roman"/>
                <w:noProof/>
                <w:szCs w:val="24"/>
              </w:rPr>
            </w:pPr>
            <w:r w:rsidRPr="002C111E">
              <w:rPr>
                <w:rFonts w:cs="Times New Roman"/>
                <w:noProof/>
                <w:szCs w:val="24"/>
              </w:rPr>
              <w:t>The primary objective of this research is to characterize and evaluate how bicyclists perceive the safety of roundabouts overall and of specific design and operational characteristics of roundabouts. A questionnaire will be developed to survey bicyclists' safety perceptions, preferences, and behavior associated with different roundabout designs and situations. Survey responses will be quantitatively and qualitatively analyzed for behavioral implications in addition to design and operational recommendations. As transportation agencies consider installing roundabouts to improve roadway safety, this research will inform intersection design practices to improve bicycling safety outcomes.</w:t>
            </w:r>
          </w:p>
        </w:tc>
      </w:tr>
      <w:tr w:rsidR="006369C0" w:rsidRPr="004B070F" w14:paraId="3C750BC4" w14:textId="77777777" w:rsidTr="00C91A87">
        <w:trPr>
          <w:trHeight w:val="1034"/>
          <w:jc w:val="center"/>
        </w:trPr>
        <w:tc>
          <w:tcPr>
            <w:tcW w:w="3685" w:type="dxa"/>
          </w:tcPr>
          <w:p w14:paraId="6E6E0F15" w14:textId="4EE68AE9" w:rsidR="006369C0" w:rsidRPr="004B070F" w:rsidRDefault="006369C0" w:rsidP="00355F0A">
            <w:pPr>
              <w:spacing w:after="240"/>
              <w:rPr>
                <w:rFonts w:cs="Times New Roman"/>
              </w:rPr>
            </w:pPr>
            <w:r w:rsidRPr="004B070F">
              <w:rPr>
                <w:rFonts w:cs="Times New Roman"/>
              </w:rPr>
              <w:lastRenderedPageBreak/>
              <w:t>Describe Implementation of Research Outcomes (or why not implemented)</w:t>
            </w:r>
          </w:p>
          <w:p w14:paraId="0F458248" w14:textId="77777777" w:rsidR="006369C0" w:rsidRPr="004B070F" w:rsidRDefault="006369C0">
            <w:pPr>
              <w:rPr>
                <w:rFonts w:cs="Times New Roman"/>
              </w:rPr>
            </w:pPr>
            <w:r w:rsidRPr="004B070F">
              <w:rPr>
                <w:rFonts w:cs="Times New Roman"/>
              </w:rPr>
              <w:t>Place Any Photos Here</w:t>
            </w:r>
          </w:p>
        </w:tc>
        <w:tc>
          <w:tcPr>
            <w:tcW w:w="6390" w:type="dxa"/>
          </w:tcPr>
          <w:p w14:paraId="78A3BC20" w14:textId="38CFA7EF" w:rsidR="006369C0" w:rsidRPr="004B070F" w:rsidRDefault="00912E65" w:rsidP="00912E65">
            <w:r w:rsidRPr="00912E65">
              <w:t>We suggest updating US roundabout design guidelines to include “protected roundabouts” allowing these separated bicycle lanes. Considering bicycle preferences and perceived comfort at roundabouts can help encourage cycling for people of all ages and abilities.</w:t>
            </w:r>
          </w:p>
        </w:tc>
      </w:tr>
      <w:tr w:rsidR="006369C0" w:rsidRPr="004B070F" w14:paraId="3879FC84" w14:textId="77777777" w:rsidTr="00C91A87">
        <w:trPr>
          <w:trHeight w:val="395"/>
          <w:jc w:val="center"/>
        </w:trPr>
        <w:tc>
          <w:tcPr>
            <w:tcW w:w="3685" w:type="dxa"/>
          </w:tcPr>
          <w:p w14:paraId="715126A8" w14:textId="77777777" w:rsidR="006369C0" w:rsidRPr="004B070F" w:rsidRDefault="006369C0">
            <w:pPr>
              <w:rPr>
                <w:rFonts w:cs="Times New Roman"/>
              </w:rPr>
            </w:pPr>
            <w:r w:rsidRPr="004B070F">
              <w:rPr>
                <w:rFonts w:cs="Times New Roman"/>
              </w:rPr>
              <w:t>Impacts/Benefits of Implementation</w:t>
            </w:r>
          </w:p>
          <w:p w14:paraId="5144EDAC" w14:textId="77777777" w:rsidR="006369C0" w:rsidRPr="004B070F" w:rsidRDefault="006369C0">
            <w:pPr>
              <w:rPr>
                <w:rFonts w:cs="Times New Roman"/>
              </w:rPr>
            </w:pPr>
            <w:r>
              <w:rPr>
                <w:rFonts w:cs="Times New Roman"/>
              </w:rPr>
              <w:t>(actual, not anticipated)</w:t>
            </w:r>
          </w:p>
        </w:tc>
        <w:tc>
          <w:tcPr>
            <w:tcW w:w="6390" w:type="dxa"/>
          </w:tcPr>
          <w:p w14:paraId="5C5EB606" w14:textId="62291E21" w:rsidR="006369C0" w:rsidRPr="004B070F" w:rsidRDefault="00912E65" w:rsidP="00465817">
            <w:pPr>
              <w:rPr>
                <w:rFonts w:cs="Times New Roman"/>
              </w:rPr>
            </w:pPr>
            <w:r w:rsidRPr="00912E65">
              <w:rPr>
                <w:rFonts w:cs="Times New Roman"/>
              </w:rPr>
              <w:t>The study's findings can help to revise US roundabout design guidelines and create roundabouts that are safer and more comfortable, in order to encourage people of all ages and abilities to cycle.</w:t>
            </w:r>
          </w:p>
        </w:tc>
      </w:tr>
      <w:tr w:rsidR="006369C0" w:rsidRPr="004B070F" w14:paraId="6C348A8D" w14:textId="77777777" w:rsidTr="00C91A87">
        <w:trPr>
          <w:jc w:val="center"/>
        </w:trPr>
        <w:tc>
          <w:tcPr>
            <w:tcW w:w="3685" w:type="dxa"/>
          </w:tcPr>
          <w:p w14:paraId="3AD922DA" w14:textId="77777777" w:rsidR="006369C0" w:rsidRPr="004B070F" w:rsidRDefault="006369C0">
            <w:pPr>
              <w:rPr>
                <w:rFonts w:cs="Times New Roman"/>
              </w:rPr>
            </w:pPr>
            <w:r w:rsidRPr="004B070F">
              <w:rPr>
                <w:rFonts w:cs="Times New Roman"/>
              </w:rPr>
              <w:t>Web Links</w:t>
            </w:r>
          </w:p>
          <w:p w14:paraId="371AE94D" w14:textId="77777777" w:rsidR="006369C0" w:rsidRPr="004B070F" w:rsidRDefault="006369C0" w:rsidP="005739F2">
            <w:pPr>
              <w:pStyle w:val="ListParagraph"/>
              <w:numPr>
                <w:ilvl w:val="0"/>
                <w:numId w:val="2"/>
              </w:numPr>
              <w:rPr>
                <w:rFonts w:cs="Times New Roman"/>
              </w:rPr>
            </w:pPr>
            <w:r w:rsidRPr="004B070F">
              <w:rPr>
                <w:rFonts w:cs="Times New Roman"/>
              </w:rPr>
              <w:t>Reports</w:t>
            </w:r>
          </w:p>
          <w:p w14:paraId="1E74FC3A" w14:textId="77777777" w:rsidR="006369C0" w:rsidRPr="004B7858" w:rsidRDefault="006369C0" w:rsidP="004519D5">
            <w:pPr>
              <w:pStyle w:val="ListParagraph"/>
              <w:numPr>
                <w:ilvl w:val="0"/>
                <w:numId w:val="2"/>
              </w:numPr>
              <w:rPr>
                <w:rFonts w:cs="Times New Roman"/>
              </w:rPr>
            </w:pPr>
            <w:r w:rsidRPr="004B070F">
              <w:rPr>
                <w:rFonts w:cs="Times New Roman"/>
              </w:rPr>
              <w:t>Project Website</w:t>
            </w:r>
          </w:p>
        </w:tc>
        <w:tc>
          <w:tcPr>
            <w:tcW w:w="6390" w:type="dxa"/>
          </w:tcPr>
          <w:p w14:paraId="08FCFAF7" w14:textId="14243072" w:rsidR="006369C0" w:rsidRPr="00912E65" w:rsidRDefault="00912E65" w:rsidP="00912E65">
            <w:pPr>
              <w:pStyle w:val="ListParagraph"/>
              <w:numPr>
                <w:ilvl w:val="0"/>
                <w:numId w:val="2"/>
              </w:numPr>
              <w:ind w:left="424"/>
              <w:rPr>
                <w:rFonts w:cs="Times New Roman"/>
              </w:rPr>
            </w:pPr>
            <w:r>
              <w:rPr>
                <w:rFonts w:cs="Times New Roman"/>
              </w:rPr>
              <w:t xml:space="preserve">MPC Final Report – </w:t>
            </w:r>
            <w:hyperlink r:id="rId6" w:history="1">
              <w:r w:rsidRPr="00912E65">
                <w:rPr>
                  <w:rStyle w:val="Hyperlink"/>
                  <w:rFonts w:cs="Times New Roman"/>
                </w:rPr>
                <w:t>Investigating Bicyclist Safety Perceptions and Behaviors at Roundabouts</w:t>
              </w:r>
            </w:hyperlink>
          </w:p>
        </w:tc>
      </w:tr>
    </w:tbl>
    <w:p w14:paraId="36B44599" w14:textId="77777777" w:rsidR="006369C0" w:rsidRPr="00F25513" w:rsidRDefault="006369C0" w:rsidP="00024067">
      <w:pPr>
        <w:rPr>
          <w:rFonts w:cs="Times New Roman"/>
        </w:rPr>
      </w:pPr>
    </w:p>
    <w:sectPr w:rsidR="006369C0" w:rsidRPr="00F25513" w:rsidSect="006369C0">
      <w:type w:val="continuous"/>
      <w:pgSz w:w="12240" w:h="15840"/>
      <w:pgMar w:top="1440" w:right="1440" w:bottom="12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57750E"/>
    <w:multiLevelType w:val="hybridMultilevel"/>
    <w:tmpl w:val="D4BE1372"/>
    <w:lvl w:ilvl="0" w:tplc="2660918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1">
    <w:nsid w:val="1AE6279E"/>
    <w:multiLevelType w:val="hybridMultilevel"/>
    <w:tmpl w:val="BCEAD1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1">
    <w:nsid w:val="30D81D58"/>
    <w:multiLevelType w:val="hybridMultilevel"/>
    <w:tmpl w:val="C0AAB53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42C11DBC"/>
    <w:multiLevelType w:val="hybridMultilevel"/>
    <w:tmpl w:val="D8BC21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59F30D54"/>
    <w:multiLevelType w:val="hybridMultilevel"/>
    <w:tmpl w:val="F12475E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1">
    <w:nsid w:val="649E5509"/>
    <w:multiLevelType w:val="hybridMultilevel"/>
    <w:tmpl w:val="FFF85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B30"/>
    <w:rsid w:val="00001B9F"/>
    <w:rsid w:val="0001290E"/>
    <w:rsid w:val="00015A9A"/>
    <w:rsid w:val="00024067"/>
    <w:rsid w:val="00025CD4"/>
    <w:rsid w:val="00025DF1"/>
    <w:rsid w:val="00036F2D"/>
    <w:rsid w:val="000373A9"/>
    <w:rsid w:val="000502B3"/>
    <w:rsid w:val="000505B4"/>
    <w:rsid w:val="0005162D"/>
    <w:rsid w:val="000554DF"/>
    <w:rsid w:val="00055F72"/>
    <w:rsid w:val="000639A7"/>
    <w:rsid w:val="000722B1"/>
    <w:rsid w:val="00083487"/>
    <w:rsid w:val="00095869"/>
    <w:rsid w:val="000A6B14"/>
    <w:rsid w:val="000A7B5A"/>
    <w:rsid w:val="000E6251"/>
    <w:rsid w:val="000F25D1"/>
    <w:rsid w:val="000F3CC9"/>
    <w:rsid w:val="000F3EED"/>
    <w:rsid w:val="00135006"/>
    <w:rsid w:val="00141F21"/>
    <w:rsid w:val="00144705"/>
    <w:rsid w:val="00156068"/>
    <w:rsid w:val="001612F5"/>
    <w:rsid w:val="00167D11"/>
    <w:rsid w:val="001710A6"/>
    <w:rsid w:val="0017516D"/>
    <w:rsid w:val="00176F1C"/>
    <w:rsid w:val="00182779"/>
    <w:rsid w:val="00182C9D"/>
    <w:rsid w:val="00191E7F"/>
    <w:rsid w:val="00194A73"/>
    <w:rsid w:val="001B74CD"/>
    <w:rsid w:val="001D0048"/>
    <w:rsid w:val="001D1BB3"/>
    <w:rsid w:val="001D5044"/>
    <w:rsid w:val="001E32FA"/>
    <w:rsid w:val="001E6516"/>
    <w:rsid w:val="001F2747"/>
    <w:rsid w:val="001F6987"/>
    <w:rsid w:val="00200B97"/>
    <w:rsid w:val="00202273"/>
    <w:rsid w:val="002041EF"/>
    <w:rsid w:val="0021507A"/>
    <w:rsid w:val="002201AC"/>
    <w:rsid w:val="002241F0"/>
    <w:rsid w:val="00247718"/>
    <w:rsid w:val="00250684"/>
    <w:rsid w:val="00251455"/>
    <w:rsid w:val="00265E1D"/>
    <w:rsid w:val="00277249"/>
    <w:rsid w:val="002A02C7"/>
    <w:rsid w:val="002A7D96"/>
    <w:rsid w:val="002B4105"/>
    <w:rsid w:val="002C111E"/>
    <w:rsid w:val="002C1991"/>
    <w:rsid w:val="002D0AA3"/>
    <w:rsid w:val="002D1EB6"/>
    <w:rsid w:val="002E5203"/>
    <w:rsid w:val="002F1EA9"/>
    <w:rsid w:val="002F44C5"/>
    <w:rsid w:val="002F6FE5"/>
    <w:rsid w:val="003113AA"/>
    <w:rsid w:val="00342B4B"/>
    <w:rsid w:val="00344EB6"/>
    <w:rsid w:val="00345ECC"/>
    <w:rsid w:val="003470FA"/>
    <w:rsid w:val="00352F16"/>
    <w:rsid w:val="00355F0A"/>
    <w:rsid w:val="00357985"/>
    <w:rsid w:val="00370888"/>
    <w:rsid w:val="003771C8"/>
    <w:rsid w:val="0037769A"/>
    <w:rsid w:val="00377FA5"/>
    <w:rsid w:val="00381A7C"/>
    <w:rsid w:val="00382035"/>
    <w:rsid w:val="003A1F97"/>
    <w:rsid w:val="003B2994"/>
    <w:rsid w:val="003B6493"/>
    <w:rsid w:val="003C597A"/>
    <w:rsid w:val="003D2341"/>
    <w:rsid w:val="003E2C50"/>
    <w:rsid w:val="003E378B"/>
    <w:rsid w:val="003F4CA3"/>
    <w:rsid w:val="00400D46"/>
    <w:rsid w:val="0041641D"/>
    <w:rsid w:val="0042016D"/>
    <w:rsid w:val="00420A9E"/>
    <w:rsid w:val="004222E3"/>
    <w:rsid w:val="00430174"/>
    <w:rsid w:val="0043128E"/>
    <w:rsid w:val="004519D5"/>
    <w:rsid w:val="004549E3"/>
    <w:rsid w:val="00461AF2"/>
    <w:rsid w:val="00461EFB"/>
    <w:rsid w:val="00463B5F"/>
    <w:rsid w:val="00465817"/>
    <w:rsid w:val="00471D9C"/>
    <w:rsid w:val="004801CC"/>
    <w:rsid w:val="00485BE3"/>
    <w:rsid w:val="004A0C54"/>
    <w:rsid w:val="004A27BF"/>
    <w:rsid w:val="004B070F"/>
    <w:rsid w:val="004B684F"/>
    <w:rsid w:val="004B7858"/>
    <w:rsid w:val="004C064D"/>
    <w:rsid w:val="004C315B"/>
    <w:rsid w:val="004C50F6"/>
    <w:rsid w:val="004D13A5"/>
    <w:rsid w:val="004D2D48"/>
    <w:rsid w:val="004E13DC"/>
    <w:rsid w:val="004E2473"/>
    <w:rsid w:val="004F1053"/>
    <w:rsid w:val="005103AC"/>
    <w:rsid w:val="00520CCC"/>
    <w:rsid w:val="00522A6B"/>
    <w:rsid w:val="0054051D"/>
    <w:rsid w:val="005418BF"/>
    <w:rsid w:val="00542981"/>
    <w:rsid w:val="0055016C"/>
    <w:rsid w:val="005673B8"/>
    <w:rsid w:val="0057006A"/>
    <w:rsid w:val="005739F2"/>
    <w:rsid w:val="00574C0A"/>
    <w:rsid w:val="00591E92"/>
    <w:rsid w:val="00592B8A"/>
    <w:rsid w:val="005A34A9"/>
    <w:rsid w:val="005C5EFC"/>
    <w:rsid w:val="005D64F4"/>
    <w:rsid w:val="005E0BB4"/>
    <w:rsid w:val="005E1A27"/>
    <w:rsid w:val="005F7C9D"/>
    <w:rsid w:val="0060116D"/>
    <w:rsid w:val="00607128"/>
    <w:rsid w:val="006133F6"/>
    <w:rsid w:val="00620ED9"/>
    <w:rsid w:val="00626C8E"/>
    <w:rsid w:val="00633CBF"/>
    <w:rsid w:val="00636073"/>
    <w:rsid w:val="00636265"/>
    <w:rsid w:val="006369C0"/>
    <w:rsid w:val="006406FA"/>
    <w:rsid w:val="00644861"/>
    <w:rsid w:val="0065023F"/>
    <w:rsid w:val="006547BC"/>
    <w:rsid w:val="006740CA"/>
    <w:rsid w:val="006770E3"/>
    <w:rsid w:val="00692D86"/>
    <w:rsid w:val="006B398F"/>
    <w:rsid w:val="006B5186"/>
    <w:rsid w:val="006C5A77"/>
    <w:rsid w:val="006D0A5E"/>
    <w:rsid w:val="006F1156"/>
    <w:rsid w:val="006F6291"/>
    <w:rsid w:val="0070609E"/>
    <w:rsid w:val="0071185B"/>
    <w:rsid w:val="00720E9C"/>
    <w:rsid w:val="007247F1"/>
    <w:rsid w:val="00725E11"/>
    <w:rsid w:val="0073654F"/>
    <w:rsid w:val="00746F9F"/>
    <w:rsid w:val="00751408"/>
    <w:rsid w:val="00757D9E"/>
    <w:rsid w:val="007700A5"/>
    <w:rsid w:val="00772519"/>
    <w:rsid w:val="007842DA"/>
    <w:rsid w:val="00784948"/>
    <w:rsid w:val="0079432C"/>
    <w:rsid w:val="007953B4"/>
    <w:rsid w:val="007A0C7D"/>
    <w:rsid w:val="007C24D2"/>
    <w:rsid w:val="007C2BA0"/>
    <w:rsid w:val="007C4B35"/>
    <w:rsid w:val="007C4E20"/>
    <w:rsid w:val="007C5540"/>
    <w:rsid w:val="007C6A8C"/>
    <w:rsid w:val="007E3202"/>
    <w:rsid w:val="007F1224"/>
    <w:rsid w:val="007F1C7C"/>
    <w:rsid w:val="00820860"/>
    <w:rsid w:val="0082095E"/>
    <w:rsid w:val="00821337"/>
    <w:rsid w:val="00832B74"/>
    <w:rsid w:val="0083302C"/>
    <w:rsid w:val="00834DD0"/>
    <w:rsid w:val="008353A1"/>
    <w:rsid w:val="00835987"/>
    <w:rsid w:val="00841253"/>
    <w:rsid w:val="0085153B"/>
    <w:rsid w:val="00853B68"/>
    <w:rsid w:val="00855891"/>
    <w:rsid w:val="00863038"/>
    <w:rsid w:val="008733FB"/>
    <w:rsid w:val="008A0AFB"/>
    <w:rsid w:val="008C4D3A"/>
    <w:rsid w:val="008D4AD9"/>
    <w:rsid w:val="008D7A14"/>
    <w:rsid w:val="008E2450"/>
    <w:rsid w:val="008F3DF8"/>
    <w:rsid w:val="00900C47"/>
    <w:rsid w:val="00911460"/>
    <w:rsid w:val="009115C3"/>
    <w:rsid w:val="00912E65"/>
    <w:rsid w:val="009412AE"/>
    <w:rsid w:val="00947EC7"/>
    <w:rsid w:val="009504EC"/>
    <w:rsid w:val="00965801"/>
    <w:rsid w:val="00965963"/>
    <w:rsid w:val="0098520A"/>
    <w:rsid w:val="009B1A05"/>
    <w:rsid w:val="009B37D0"/>
    <w:rsid w:val="009B6455"/>
    <w:rsid w:val="009D1318"/>
    <w:rsid w:val="009D61B8"/>
    <w:rsid w:val="009D71A7"/>
    <w:rsid w:val="009E32AE"/>
    <w:rsid w:val="009F682D"/>
    <w:rsid w:val="00A015A3"/>
    <w:rsid w:val="00A06B49"/>
    <w:rsid w:val="00A1029D"/>
    <w:rsid w:val="00A22E07"/>
    <w:rsid w:val="00A26429"/>
    <w:rsid w:val="00A326E7"/>
    <w:rsid w:val="00A35353"/>
    <w:rsid w:val="00A42DF6"/>
    <w:rsid w:val="00A46100"/>
    <w:rsid w:val="00A47880"/>
    <w:rsid w:val="00A5155B"/>
    <w:rsid w:val="00A61223"/>
    <w:rsid w:val="00A61B30"/>
    <w:rsid w:val="00A623BD"/>
    <w:rsid w:val="00A7297B"/>
    <w:rsid w:val="00A852B0"/>
    <w:rsid w:val="00AA5BEB"/>
    <w:rsid w:val="00AB0769"/>
    <w:rsid w:val="00AB37E5"/>
    <w:rsid w:val="00AC3C67"/>
    <w:rsid w:val="00AC6B81"/>
    <w:rsid w:val="00AC7284"/>
    <w:rsid w:val="00AD1BD6"/>
    <w:rsid w:val="00AD65C1"/>
    <w:rsid w:val="00AD6E8F"/>
    <w:rsid w:val="00AE2AF2"/>
    <w:rsid w:val="00AE424B"/>
    <w:rsid w:val="00AE5B09"/>
    <w:rsid w:val="00AF4DBA"/>
    <w:rsid w:val="00B01048"/>
    <w:rsid w:val="00B01131"/>
    <w:rsid w:val="00B020B8"/>
    <w:rsid w:val="00B14DE6"/>
    <w:rsid w:val="00B42EF8"/>
    <w:rsid w:val="00B435E3"/>
    <w:rsid w:val="00B50C0C"/>
    <w:rsid w:val="00B554FD"/>
    <w:rsid w:val="00B56CF1"/>
    <w:rsid w:val="00B56F4F"/>
    <w:rsid w:val="00B62D41"/>
    <w:rsid w:val="00B63F87"/>
    <w:rsid w:val="00B65EB3"/>
    <w:rsid w:val="00B753AD"/>
    <w:rsid w:val="00B808FD"/>
    <w:rsid w:val="00B80F8E"/>
    <w:rsid w:val="00B93CEF"/>
    <w:rsid w:val="00B95278"/>
    <w:rsid w:val="00BA79E0"/>
    <w:rsid w:val="00BB1320"/>
    <w:rsid w:val="00BC4E0F"/>
    <w:rsid w:val="00BD2E5F"/>
    <w:rsid w:val="00BD484D"/>
    <w:rsid w:val="00BF12EC"/>
    <w:rsid w:val="00BF1DA6"/>
    <w:rsid w:val="00BF275C"/>
    <w:rsid w:val="00C010B9"/>
    <w:rsid w:val="00C05C39"/>
    <w:rsid w:val="00C06AA8"/>
    <w:rsid w:val="00C1254F"/>
    <w:rsid w:val="00C24EBB"/>
    <w:rsid w:val="00C537EA"/>
    <w:rsid w:val="00C5701A"/>
    <w:rsid w:val="00C7764F"/>
    <w:rsid w:val="00C86AC4"/>
    <w:rsid w:val="00C91A87"/>
    <w:rsid w:val="00C93D8B"/>
    <w:rsid w:val="00C971CF"/>
    <w:rsid w:val="00CA2CF5"/>
    <w:rsid w:val="00CB439F"/>
    <w:rsid w:val="00CE1984"/>
    <w:rsid w:val="00CE5260"/>
    <w:rsid w:val="00CE6956"/>
    <w:rsid w:val="00CF11BA"/>
    <w:rsid w:val="00CF3C6A"/>
    <w:rsid w:val="00D415CF"/>
    <w:rsid w:val="00D50207"/>
    <w:rsid w:val="00D5379D"/>
    <w:rsid w:val="00D64013"/>
    <w:rsid w:val="00D74215"/>
    <w:rsid w:val="00D746A0"/>
    <w:rsid w:val="00D76096"/>
    <w:rsid w:val="00D95BC3"/>
    <w:rsid w:val="00DA3693"/>
    <w:rsid w:val="00DA713E"/>
    <w:rsid w:val="00DB4ECC"/>
    <w:rsid w:val="00DB767A"/>
    <w:rsid w:val="00DC234C"/>
    <w:rsid w:val="00DE700B"/>
    <w:rsid w:val="00DE7E9D"/>
    <w:rsid w:val="00DF3B4C"/>
    <w:rsid w:val="00DF4B34"/>
    <w:rsid w:val="00E21FBA"/>
    <w:rsid w:val="00E22AC0"/>
    <w:rsid w:val="00E2770B"/>
    <w:rsid w:val="00E3612D"/>
    <w:rsid w:val="00E4047F"/>
    <w:rsid w:val="00E41F2E"/>
    <w:rsid w:val="00E52614"/>
    <w:rsid w:val="00E562BD"/>
    <w:rsid w:val="00E570E2"/>
    <w:rsid w:val="00E67770"/>
    <w:rsid w:val="00E75B7F"/>
    <w:rsid w:val="00E90782"/>
    <w:rsid w:val="00E90BCE"/>
    <w:rsid w:val="00EB69C5"/>
    <w:rsid w:val="00ED3425"/>
    <w:rsid w:val="00EE3DC8"/>
    <w:rsid w:val="00EE529C"/>
    <w:rsid w:val="00EF72E1"/>
    <w:rsid w:val="00F04DF2"/>
    <w:rsid w:val="00F068E6"/>
    <w:rsid w:val="00F07947"/>
    <w:rsid w:val="00F108C6"/>
    <w:rsid w:val="00F13AEB"/>
    <w:rsid w:val="00F15F66"/>
    <w:rsid w:val="00F20199"/>
    <w:rsid w:val="00F20A33"/>
    <w:rsid w:val="00F20FA0"/>
    <w:rsid w:val="00F23ED6"/>
    <w:rsid w:val="00F25513"/>
    <w:rsid w:val="00F33865"/>
    <w:rsid w:val="00F35FAC"/>
    <w:rsid w:val="00F45EA0"/>
    <w:rsid w:val="00F46782"/>
    <w:rsid w:val="00F50059"/>
    <w:rsid w:val="00F52768"/>
    <w:rsid w:val="00F6271A"/>
    <w:rsid w:val="00F67BC5"/>
    <w:rsid w:val="00F80C7F"/>
    <w:rsid w:val="00F87DFA"/>
    <w:rsid w:val="00F96D62"/>
    <w:rsid w:val="00FA3870"/>
    <w:rsid w:val="00FA3CBC"/>
    <w:rsid w:val="00FA5E45"/>
    <w:rsid w:val="00FD17F5"/>
    <w:rsid w:val="00FD1BC1"/>
    <w:rsid w:val="00FD2981"/>
    <w:rsid w:val="00FD5E85"/>
    <w:rsid w:val="00FE14D9"/>
    <w:rsid w:val="00FF5D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1F549"/>
  <w15:docId w15:val="{2AA4EDB8-E568-4A5A-BBA5-B0ADF0C88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C54"/>
    <w:rPr>
      <w:rFonts w:ascii="Times New Roman" w:hAnsi="Times New Roman"/>
    </w:rPr>
  </w:style>
  <w:style w:type="paragraph" w:styleId="Heading1">
    <w:name w:val="heading 1"/>
    <w:basedOn w:val="Normal"/>
    <w:next w:val="Normal"/>
    <w:link w:val="Heading1Char"/>
    <w:uiPriority w:val="9"/>
    <w:qFormat/>
    <w:rsid w:val="00FD5E85"/>
    <w:pPr>
      <w:keepNext/>
      <w:keepLines/>
      <w:spacing w:after="120"/>
      <w:outlineLvl w:val="0"/>
    </w:pPr>
    <w:rPr>
      <w:rFonts w:eastAsiaTheme="majorEastAsia" w:cstheme="majorBidi"/>
      <w:b/>
      <w:bCs/>
      <w:sz w:val="24"/>
      <w:szCs w:val="28"/>
    </w:rPr>
  </w:style>
  <w:style w:type="paragraph" w:styleId="Heading3">
    <w:name w:val="heading 3"/>
    <w:basedOn w:val="Normal"/>
    <w:next w:val="Normal"/>
    <w:link w:val="Heading3Char"/>
    <w:uiPriority w:val="9"/>
    <w:semiHidden/>
    <w:unhideWhenUsed/>
    <w:qFormat/>
    <w:rsid w:val="001F698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61B3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9F2"/>
    <w:pPr>
      <w:ind w:left="720"/>
      <w:contextualSpacing/>
    </w:pPr>
  </w:style>
  <w:style w:type="character" w:styleId="Hyperlink">
    <w:name w:val="Hyperlink"/>
    <w:basedOn w:val="DefaultParagraphFont"/>
    <w:uiPriority w:val="99"/>
    <w:unhideWhenUsed/>
    <w:rsid w:val="00B01048"/>
    <w:rPr>
      <w:color w:val="0000FF"/>
      <w:u w:val="single"/>
    </w:rPr>
  </w:style>
  <w:style w:type="character" w:customStyle="1" w:styleId="Heading1Char">
    <w:name w:val="Heading 1 Char"/>
    <w:basedOn w:val="DefaultParagraphFont"/>
    <w:link w:val="Heading1"/>
    <w:uiPriority w:val="9"/>
    <w:rsid w:val="00FD5E85"/>
    <w:rPr>
      <w:rFonts w:ascii="Times New Roman" w:eastAsiaTheme="majorEastAsia" w:hAnsi="Times New Roman" w:cstheme="majorBidi"/>
      <w:b/>
      <w:bCs/>
      <w:sz w:val="24"/>
      <w:szCs w:val="28"/>
    </w:rPr>
  </w:style>
  <w:style w:type="paragraph" w:styleId="List">
    <w:name w:val="List"/>
    <w:basedOn w:val="Normal"/>
    <w:rsid w:val="006740CA"/>
    <w:pPr>
      <w:spacing w:after="0"/>
      <w:ind w:left="360" w:hanging="360"/>
    </w:pPr>
    <w:rPr>
      <w:rFonts w:eastAsia="Times New Roman" w:cs="Times New Roman"/>
      <w:sz w:val="24"/>
      <w:szCs w:val="24"/>
    </w:rPr>
  </w:style>
  <w:style w:type="character" w:customStyle="1" w:styleId="Heading3Char">
    <w:name w:val="Heading 3 Char"/>
    <w:basedOn w:val="DefaultParagraphFont"/>
    <w:link w:val="Heading3"/>
    <w:uiPriority w:val="9"/>
    <w:semiHidden/>
    <w:rsid w:val="001F6987"/>
    <w:rPr>
      <w:rFonts w:asciiTheme="majorHAnsi" w:eastAsiaTheme="majorEastAsia" w:hAnsiTheme="majorHAnsi" w:cstheme="majorBidi"/>
      <w:color w:val="243F60" w:themeColor="accent1" w:themeShade="7F"/>
      <w:sz w:val="24"/>
      <w:szCs w:val="24"/>
    </w:rPr>
  </w:style>
  <w:style w:type="character" w:styleId="UnresolvedMention">
    <w:name w:val="Unresolved Mention"/>
    <w:basedOn w:val="DefaultParagraphFont"/>
    <w:uiPriority w:val="99"/>
    <w:semiHidden/>
    <w:unhideWhenUsed/>
    <w:rsid w:val="00912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296924">
      <w:bodyDiv w:val="1"/>
      <w:marLeft w:val="0"/>
      <w:marRight w:val="0"/>
      <w:marTop w:val="0"/>
      <w:marBottom w:val="0"/>
      <w:divBdr>
        <w:top w:val="none" w:sz="0" w:space="0" w:color="auto"/>
        <w:left w:val="none" w:sz="0" w:space="0" w:color="auto"/>
        <w:bottom w:val="none" w:sz="0" w:space="0" w:color="auto"/>
        <w:right w:val="none" w:sz="0" w:space="0" w:color="auto"/>
      </w:divBdr>
    </w:div>
    <w:div w:id="998922668">
      <w:bodyDiv w:val="1"/>
      <w:marLeft w:val="0"/>
      <w:marRight w:val="0"/>
      <w:marTop w:val="0"/>
      <w:marBottom w:val="0"/>
      <w:divBdr>
        <w:top w:val="none" w:sz="0" w:space="0" w:color="auto"/>
        <w:left w:val="none" w:sz="0" w:space="0" w:color="auto"/>
        <w:bottom w:val="none" w:sz="0" w:space="0" w:color="auto"/>
        <w:right w:val="none" w:sz="0" w:space="0" w:color="auto"/>
      </w:divBdr>
    </w:div>
    <w:div w:id="101273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ugpti.org/resources/reports/details.php?id=1156"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9C4E53-3CDD-4889-9739-E39E7EB7C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2</Pages>
  <Words>452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UTC Project Information | Investigating Bicyclist Safety Perceptions and Behaviors at Roundabouts</vt:lpstr>
    </vt:vector>
  </TitlesOfParts>
  <Company>DOT</Company>
  <LinksUpToDate>false</LinksUpToDate>
  <CharactersWithSpaces>3025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UTC Project Information | Investigating Bicyclist Safety Perceptions and Behaviors at Roundabouts</dc:title>
  <dc:creator/>
  <cp:lastModifiedBy>Nichols, Patrick</cp:lastModifiedBy>
  <cp:revision>117</cp:revision>
  <cp:lastPrinted>2024-04-14T04:43:00Z</cp:lastPrinted>
  <dcterms:created xsi:type="dcterms:W3CDTF">2019-01-17T15:14:00Z</dcterms:created>
  <dcterms:modified xsi:type="dcterms:W3CDTF">2024-04-14T04:43:00Z</dcterms:modified>
</cp:coreProperties>
</file>