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Pr>
      <w:tblGrid>
        <w:gridCol w:w="3415"/>
        <w:gridCol w:w="6660"/>
      </w:tblGrid>
      <w:tr w:rsidR="006369C0" w:rsidRPr="004B070F" w14:paraId="073DEC07" w14:textId="77777777" w:rsidTr="00CA1088">
        <w:trPr>
          <w:jc w:val="center"/>
        </w:trPr>
        <w:tc>
          <w:tcPr>
            <w:tcW w:w="10075" w:type="dxa"/>
            <w:gridSpan w:val="2"/>
          </w:tcPr>
          <w:p w14:paraId="4DA9D42F" w14:textId="77777777" w:rsidR="006369C0" w:rsidRPr="004B070F" w:rsidRDefault="006369C0">
            <w:pPr>
              <w:rPr>
                <w:rFonts w:cs="Times New Roman"/>
                <w:b/>
                <w:sz w:val="28"/>
                <w:szCs w:val="28"/>
              </w:rPr>
            </w:pPr>
            <w:r w:rsidRPr="004B070F">
              <w:rPr>
                <w:rFonts w:cs="Times New Roman"/>
                <w:b/>
                <w:sz w:val="28"/>
                <w:szCs w:val="28"/>
              </w:rPr>
              <w:t>UTC  Project  Information</w:t>
            </w:r>
          </w:p>
        </w:tc>
      </w:tr>
      <w:tr w:rsidR="006369C0" w:rsidRPr="004B070F" w14:paraId="4939CD9B" w14:textId="77777777" w:rsidTr="00CA1088">
        <w:trPr>
          <w:jc w:val="center"/>
        </w:trPr>
        <w:tc>
          <w:tcPr>
            <w:tcW w:w="3415" w:type="dxa"/>
          </w:tcPr>
          <w:p w14:paraId="6D947559" w14:textId="77777777" w:rsidR="006369C0" w:rsidRPr="004B070F" w:rsidRDefault="006369C0">
            <w:pPr>
              <w:rPr>
                <w:rFonts w:cs="Times New Roman"/>
              </w:rPr>
            </w:pPr>
            <w:r>
              <w:rPr>
                <w:rFonts w:cs="Times New Roman"/>
              </w:rPr>
              <w:t>Project Title</w:t>
            </w:r>
          </w:p>
        </w:tc>
        <w:tc>
          <w:tcPr>
            <w:tcW w:w="6660" w:type="dxa"/>
          </w:tcPr>
          <w:p w14:paraId="7366C8FF" w14:textId="77777777" w:rsidR="006369C0" w:rsidRPr="004B7858" w:rsidRDefault="00244C18" w:rsidP="00D657ED">
            <w:pPr>
              <w:rPr>
                <w:rFonts w:cs="Times New Roman"/>
                <w:szCs w:val="24"/>
              </w:rPr>
            </w:pPr>
            <w:r>
              <w:rPr>
                <w:rFonts w:cs="Times New Roman"/>
                <w:noProof/>
                <w:szCs w:val="24"/>
              </w:rPr>
              <w:t>MPC-6</w:t>
            </w:r>
            <w:r w:rsidR="005540C1">
              <w:rPr>
                <w:rFonts w:cs="Times New Roman"/>
                <w:noProof/>
                <w:szCs w:val="24"/>
              </w:rPr>
              <w:t>1</w:t>
            </w:r>
            <w:r>
              <w:rPr>
                <w:rFonts w:cs="Times New Roman"/>
                <w:noProof/>
                <w:szCs w:val="24"/>
              </w:rPr>
              <w:t>0</w:t>
            </w:r>
            <w:r w:rsidR="006369C0">
              <w:rPr>
                <w:rFonts w:cs="Times New Roman"/>
                <w:szCs w:val="24"/>
              </w:rPr>
              <w:t xml:space="preserve"> – </w:t>
            </w:r>
            <w:r w:rsidR="005540C1" w:rsidRPr="005540C1">
              <w:rPr>
                <w:rFonts w:cs="Times New Roman"/>
                <w:szCs w:val="24"/>
              </w:rPr>
              <w:t>Impact of Regulatory Hybrid Changeable Message Sign on Traffic Safety under Different Freeway Geometric Designs</w:t>
            </w:r>
          </w:p>
        </w:tc>
      </w:tr>
      <w:tr w:rsidR="006369C0" w:rsidRPr="004B070F" w14:paraId="3151E90E" w14:textId="77777777" w:rsidTr="00CA1088">
        <w:trPr>
          <w:jc w:val="center"/>
        </w:trPr>
        <w:tc>
          <w:tcPr>
            <w:tcW w:w="3415" w:type="dxa"/>
          </w:tcPr>
          <w:p w14:paraId="49918D99" w14:textId="77777777" w:rsidR="006369C0" w:rsidRPr="004B070F" w:rsidRDefault="006369C0">
            <w:pPr>
              <w:rPr>
                <w:rFonts w:cs="Times New Roman"/>
              </w:rPr>
            </w:pPr>
            <w:r>
              <w:rPr>
                <w:rFonts w:cs="Times New Roman"/>
              </w:rPr>
              <w:t>University</w:t>
            </w:r>
          </w:p>
        </w:tc>
        <w:tc>
          <w:tcPr>
            <w:tcW w:w="6660" w:type="dxa"/>
          </w:tcPr>
          <w:p w14:paraId="6FF1FBB3" w14:textId="77777777" w:rsidR="006369C0" w:rsidRPr="004B7858" w:rsidRDefault="00AE0FD9" w:rsidP="00CB2F02">
            <w:pPr>
              <w:rPr>
                <w:rFonts w:eastAsia="Calibri" w:cs="Times New Roman"/>
                <w:szCs w:val="24"/>
              </w:rPr>
            </w:pPr>
            <w:r w:rsidRPr="00AE0FD9">
              <w:rPr>
                <w:rFonts w:eastAsia="Calibri" w:cs="Times New Roman"/>
                <w:szCs w:val="24"/>
              </w:rPr>
              <w:t>University of Utah</w:t>
            </w:r>
          </w:p>
        </w:tc>
      </w:tr>
      <w:tr w:rsidR="006369C0" w:rsidRPr="004B070F" w14:paraId="13438484" w14:textId="77777777" w:rsidTr="00CA1088">
        <w:trPr>
          <w:jc w:val="center"/>
        </w:trPr>
        <w:tc>
          <w:tcPr>
            <w:tcW w:w="3415" w:type="dxa"/>
          </w:tcPr>
          <w:p w14:paraId="2E668EA3" w14:textId="77777777" w:rsidR="006369C0" w:rsidRPr="004B070F" w:rsidRDefault="006369C0">
            <w:pPr>
              <w:rPr>
                <w:rFonts w:cs="Times New Roman"/>
              </w:rPr>
            </w:pPr>
            <w:r>
              <w:rPr>
                <w:rFonts w:cs="Times New Roman"/>
              </w:rPr>
              <w:t>Principal Investigator</w:t>
            </w:r>
          </w:p>
        </w:tc>
        <w:tc>
          <w:tcPr>
            <w:tcW w:w="6660" w:type="dxa"/>
          </w:tcPr>
          <w:p w14:paraId="2F7AC0CF" w14:textId="77777777" w:rsidR="000078F4" w:rsidRPr="00A5155B" w:rsidRDefault="00353193" w:rsidP="00353193">
            <w:pPr>
              <w:rPr>
                <w:rFonts w:cs="Times New Roman"/>
                <w:noProof/>
                <w:szCs w:val="24"/>
              </w:rPr>
            </w:pPr>
            <w:r>
              <w:rPr>
                <w:rFonts w:cs="Times New Roman"/>
                <w:noProof/>
                <w:szCs w:val="24"/>
              </w:rPr>
              <w:t>Xianfeng “</w:t>
            </w:r>
            <w:r w:rsidR="006A6A0C" w:rsidRPr="006A6A0C">
              <w:rPr>
                <w:rFonts w:cs="Times New Roman"/>
                <w:noProof/>
                <w:szCs w:val="24"/>
              </w:rPr>
              <w:t>Terry</w:t>
            </w:r>
            <w:r>
              <w:rPr>
                <w:rFonts w:cs="Times New Roman"/>
                <w:noProof/>
                <w:szCs w:val="24"/>
              </w:rPr>
              <w:t>”</w:t>
            </w:r>
            <w:r w:rsidR="006A6A0C" w:rsidRPr="006A6A0C">
              <w:rPr>
                <w:rFonts w:cs="Times New Roman"/>
                <w:noProof/>
                <w:szCs w:val="24"/>
              </w:rPr>
              <w:t xml:space="preserve"> Yang</w:t>
            </w:r>
          </w:p>
        </w:tc>
      </w:tr>
      <w:tr w:rsidR="006369C0" w:rsidRPr="004B070F" w14:paraId="1FE33073" w14:textId="77777777" w:rsidTr="00CA1088">
        <w:trPr>
          <w:jc w:val="center"/>
        </w:trPr>
        <w:tc>
          <w:tcPr>
            <w:tcW w:w="3415" w:type="dxa"/>
          </w:tcPr>
          <w:p w14:paraId="203F8217" w14:textId="77777777" w:rsidR="006369C0" w:rsidRPr="004B070F" w:rsidRDefault="006369C0">
            <w:pPr>
              <w:rPr>
                <w:rFonts w:cs="Times New Roman"/>
              </w:rPr>
            </w:pPr>
            <w:r>
              <w:rPr>
                <w:rFonts w:cs="Times New Roman"/>
              </w:rPr>
              <w:t>PI Contact Information</w:t>
            </w:r>
          </w:p>
        </w:tc>
        <w:tc>
          <w:tcPr>
            <w:tcW w:w="6660" w:type="dxa"/>
          </w:tcPr>
          <w:p w14:paraId="3F6E606E" w14:textId="77777777" w:rsidR="006A6A0C" w:rsidRPr="006A6A0C" w:rsidRDefault="006A6A0C" w:rsidP="006A6A0C">
            <w:pPr>
              <w:rPr>
                <w:rFonts w:cs="Times New Roman"/>
                <w:noProof/>
                <w:szCs w:val="24"/>
              </w:rPr>
            </w:pPr>
            <w:r w:rsidRPr="006A6A0C">
              <w:rPr>
                <w:rFonts w:cs="Times New Roman"/>
                <w:noProof/>
                <w:szCs w:val="24"/>
              </w:rPr>
              <w:t>Assistant Professor</w:t>
            </w:r>
          </w:p>
          <w:p w14:paraId="08763F05" w14:textId="77777777" w:rsidR="006A6A0C" w:rsidRPr="006A6A0C" w:rsidRDefault="006A6A0C" w:rsidP="006A6A0C">
            <w:pPr>
              <w:rPr>
                <w:rFonts w:cs="Times New Roman"/>
                <w:noProof/>
                <w:szCs w:val="24"/>
              </w:rPr>
            </w:pPr>
            <w:r w:rsidRPr="006A6A0C">
              <w:rPr>
                <w:rFonts w:cs="Times New Roman"/>
                <w:noProof/>
                <w:szCs w:val="24"/>
              </w:rPr>
              <w:t>University of Utah</w:t>
            </w:r>
          </w:p>
          <w:p w14:paraId="3B5C5B3D" w14:textId="77777777" w:rsidR="006A6A0C" w:rsidRPr="006A6A0C" w:rsidRDefault="006A6A0C" w:rsidP="006A6A0C">
            <w:pPr>
              <w:rPr>
                <w:rFonts w:cs="Times New Roman"/>
                <w:noProof/>
                <w:szCs w:val="24"/>
              </w:rPr>
            </w:pPr>
            <w:r w:rsidRPr="006A6A0C">
              <w:rPr>
                <w:rFonts w:cs="Times New Roman"/>
                <w:noProof/>
                <w:szCs w:val="24"/>
              </w:rPr>
              <w:t>Phone: (801) 585-1290</w:t>
            </w:r>
          </w:p>
          <w:p w14:paraId="61250461" w14:textId="77777777" w:rsidR="006A6A0C" w:rsidRPr="006A6A0C" w:rsidRDefault="006A6A0C" w:rsidP="006A6A0C">
            <w:pPr>
              <w:rPr>
                <w:rFonts w:cs="Times New Roman"/>
                <w:noProof/>
                <w:szCs w:val="24"/>
              </w:rPr>
            </w:pPr>
            <w:r w:rsidRPr="006A6A0C">
              <w:rPr>
                <w:rFonts w:cs="Times New Roman"/>
                <w:noProof/>
                <w:szCs w:val="24"/>
              </w:rPr>
              <w:t>Email: x.yang@utah.edu</w:t>
            </w:r>
          </w:p>
          <w:p w14:paraId="6425F98B" w14:textId="77777777" w:rsidR="006369C0" w:rsidRDefault="006A6A0C" w:rsidP="006A6A0C">
            <w:pPr>
              <w:rPr>
                <w:rFonts w:cs="Times New Roman"/>
                <w:noProof/>
                <w:szCs w:val="24"/>
              </w:rPr>
            </w:pPr>
            <w:r w:rsidRPr="006A6A0C">
              <w:rPr>
                <w:rFonts w:cs="Times New Roman"/>
                <w:noProof/>
                <w:szCs w:val="24"/>
              </w:rPr>
              <w:t>ORCID: 0000-0002-9416-6882</w:t>
            </w:r>
          </w:p>
        </w:tc>
      </w:tr>
      <w:tr w:rsidR="006369C0" w:rsidRPr="004B070F" w14:paraId="537D2335" w14:textId="77777777" w:rsidTr="00CA1088">
        <w:trPr>
          <w:jc w:val="center"/>
        </w:trPr>
        <w:tc>
          <w:tcPr>
            <w:tcW w:w="3415" w:type="dxa"/>
          </w:tcPr>
          <w:p w14:paraId="69C67548" w14:textId="77777777" w:rsidR="006369C0" w:rsidRPr="004B070F" w:rsidRDefault="006369C0"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660" w:type="dxa"/>
          </w:tcPr>
          <w:p w14:paraId="7D8E2C43" w14:textId="77777777" w:rsidR="006369C0" w:rsidRDefault="006369C0">
            <w:pPr>
              <w:rPr>
                <w:rFonts w:cs="Times New Roman"/>
              </w:rPr>
            </w:pPr>
            <w:r w:rsidRPr="00432B0E">
              <w:rPr>
                <w:rFonts w:cs="Times New Roman"/>
                <w:noProof/>
              </w:rPr>
              <w:t xml:space="preserve">USDOT, </w:t>
            </w:r>
            <w:r w:rsidR="00CB4A51" w:rsidRPr="00CB4A51">
              <w:rPr>
                <w:rFonts w:cs="Times New Roman"/>
                <w:noProof/>
              </w:rPr>
              <w:t>Office of the Assistant Secretary for Research and Technology</w:t>
            </w:r>
          </w:p>
          <w:p w14:paraId="39AEFB8F" w14:textId="7A90B78C" w:rsidR="006369C0" w:rsidRDefault="00B14DE6">
            <w:pPr>
              <w:rPr>
                <w:rFonts w:cs="Times New Roman"/>
              </w:rPr>
            </w:pPr>
            <w:r w:rsidRPr="00B14DE6">
              <w:rPr>
                <w:rFonts w:cs="Times New Roman"/>
              </w:rPr>
              <w:t>$</w:t>
            </w:r>
            <w:r w:rsidR="00EC34DE">
              <w:rPr>
                <w:rFonts w:cs="Times New Roman"/>
              </w:rPr>
              <w:t>7</w:t>
            </w:r>
            <w:r w:rsidR="00930A1B">
              <w:rPr>
                <w:rFonts w:cs="Times New Roman"/>
              </w:rPr>
              <w:t>5</w:t>
            </w:r>
            <w:r w:rsidR="003152EB" w:rsidRPr="003152EB">
              <w:rPr>
                <w:rFonts w:cs="Times New Roman"/>
              </w:rPr>
              <w:t>,</w:t>
            </w:r>
            <w:r w:rsidR="00930A1B">
              <w:rPr>
                <w:rFonts w:cs="Times New Roman"/>
              </w:rPr>
              <w:t>000</w:t>
            </w:r>
          </w:p>
          <w:p w14:paraId="08F57020" w14:textId="77777777" w:rsidR="006369C0" w:rsidRDefault="003B0FAD" w:rsidP="00E76878">
            <w:pPr>
              <w:spacing w:before="240"/>
              <w:rPr>
                <w:rFonts w:cs="Times New Roman"/>
              </w:rPr>
            </w:pPr>
            <w:r w:rsidRPr="003B0FAD">
              <w:rPr>
                <w:rFonts w:cs="Times New Roman"/>
              </w:rPr>
              <w:t>Utah Department of Transportation</w:t>
            </w:r>
          </w:p>
          <w:p w14:paraId="4ADB2090" w14:textId="77777777" w:rsidR="006369C0" w:rsidRPr="004B070F" w:rsidRDefault="00B14DE6" w:rsidP="00930A1B">
            <w:pPr>
              <w:rPr>
                <w:rFonts w:cs="Times New Roman"/>
              </w:rPr>
            </w:pPr>
            <w:r w:rsidRPr="00B14DE6">
              <w:rPr>
                <w:rFonts w:cs="Times New Roman"/>
              </w:rPr>
              <w:t>$</w:t>
            </w:r>
            <w:r w:rsidR="00930A1B">
              <w:rPr>
                <w:rFonts w:cs="Times New Roman"/>
              </w:rPr>
              <w:t>100</w:t>
            </w:r>
            <w:r w:rsidR="00022D93" w:rsidRPr="003152EB">
              <w:rPr>
                <w:rFonts w:cs="Times New Roman"/>
              </w:rPr>
              <w:t>,</w:t>
            </w:r>
            <w:r w:rsidR="00930A1B">
              <w:rPr>
                <w:rFonts w:cs="Times New Roman"/>
              </w:rPr>
              <w:t>000</w:t>
            </w:r>
          </w:p>
        </w:tc>
      </w:tr>
      <w:tr w:rsidR="006369C0" w:rsidRPr="004B070F" w14:paraId="47960357" w14:textId="77777777" w:rsidTr="00CA1088">
        <w:trPr>
          <w:jc w:val="center"/>
        </w:trPr>
        <w:tc>
          <w:tcPr>
            <w:tcW w:w="3415" w:type="dxa"/>
          </w:tcPr>
          <w:p w14:paraId="02BC7B81" w14:textId="77777777" w:rsidR="006369C0" w:rsidRPr="004B070F" w:rsidRDefault="006369C0" w:rsidP="00947EC7">
            <w:pPr>
              <w:rPr>
                <w:rFonts w:cs="Times New Roman"/>
              </w:rPr>
            </w:pPr>
            <w:r>
              <w:rPr>
                <w:rFonts w:cs="Times New Roman"/>
              </w:rPr>
              <w:t xml:space="preserve">Total </w:t>
            </w:r>
            <w:r w:rsidRPr="004B070F">
              <w:rPr>
                <w:rFonts w:cs="Times New Roman"/>
              </w:rPr>
              <w:t>Project Cost</w:t>
            </w:r>
          </w:p>
        </w:tc>
        <w:tc>
          <w:tcPr>
            <w:tcW w:w="6660" w:type="dxa"/>
          </w:tcPr>
          <w:p w14:paraId="13DAAFC6" w14:textId="77777777" w:rsidR="006369C0" w:rsidRDefault="00E3612D" w:rsidP="00930A1B">
            <w:pPr>
              <w:rPr>
                <w:rFonts w:cs="Times New Roman"/>
              </w:rPr>
            </w:pPr>
            <w:r w:rsidRPr="00E3612D">
              <w:rPr>
                <w:rFonts w:eastAsia="Times New Roman" w:cs="Times New Roman"/>
                <w:noProof/>
                <w:color w:val="000000"/>
                <w:szCs w:val="24"/>
              </w:rPr>
              <w:t>$</w:t>
            </w:r>
            <w:r w:rsidR="00EC34DE">
              <w:rPr>
                <w:rFonts w:eastAsia="Times New Roman" w:cs="Times New Roman"/>
                <w:noProof/>
                <w:color w:val="000000"/>
                <w:szCs w:val="24"/>
              </w:rPr>
              <w:t>17</w:t>
            </w:r>
            <w:r w:rsidR="00930A1B">
              <w:rPr>
                <w:rFonts w:eastAsia="Times New Roman" w:cs="Times New Roman"/>
                <w:noProof/>
                <w:color w:val="000000"/>
                <w:szCs w:val="24"/>
              </w:rPr>
              <w:t>5</w:t>
            </w:r>
            <w:r w:rsidR="001E6879">
              <w:rPr>
                <w:rFonts w:eastAsia="Times New Roman" w:cs="Times New Roman"/>
                <w:noProof/>
                <w:color w:val="000000"/>
                <w:szCs w:val="24"/>
              </w:rPr>
              <w:t>,</w:t>
            </w:r>
            <w:r w:rsidR="00930A1B">
              <w:rPr>
                <w:rFonts w:eastAsia="Times New Roman" w:cs="Times New Roman"/>
                <w:noProof/>
                <w:color w:val="000000"/>
                <w:szCs w:val="24"/>
              </w:rPr>
              <w:t>000</w:t>
            </w:r>
          </w:p>
        </w:tc>
      </w:tr>
      <w:tr w:rsidR="006369C0" w:rsidRPr="004B070F" w14:paraId="350401E4" w14:textId="77777777" w:rsidTr="00CA1088">
        <w:trPr>
          <w:jc w:val="center"/>
        </w:trPr>
        <w:tc>
          <w:tcPr>
            <w:tcW w:w="3415" w:type="dxa"/>
          </w:tcPr>
          <w:p w14:paraId="610B0B3A" w14:textId="77777777" w:rsidR="006369C0" w:rsidRPr="004B070F" w:rsidRDefault="006369C0" w:rsidP="00947EC7">
            <w:pPr>
              <w:rPr>
                <w:rFonts w:cs="Times New Roman"/>
              </w:rPr>
            </w:pPr>
            <w:r w:rsidRPr="004B070F">
              <w:rPr>
                <w:rFonts w:cs="Times New Roman"/>
              </w:rPr>
              <w:t>Agency ID or Contract Number</w:t>
            </w:r>
          </w:p>
        </w:tc>
        <w:tc>
          <w:tcPr>
            <w:tcW w:w="6660" w:type="dxa"/>
          </w:tcPr>
          <w:p w14:paraId="7FBA9C1D" w14:textId="77777777" w:rsidR="006369C0" w:rsidRPr="004B070F" w:rsidRDefault="006369C0">
            <w:pPr>
              <w:rPr>
                <w:rFonts w:cs="Times New Roman"/>
              </w:rPr>
            </w:pPr>
            <w:r w:rsidRPr="00432B0E">
              <w:rPr>
                <w:rFonts w:cs="Times New Roman"/>
                <w:noProof/>
              </w:rPr>
              <w:t>69A3551747108</w:t>
            </w:r>
          </w:p>
        </w:tc>
      </w:tr>
      <w:tr w:rsidR="006369C0" w:rsidRPr="004B070F" w14:paraId="37AE7D7A" w14:textId="77777777" w:rsidTr="00CA1088">
        <w:trPr>
          <w:jc w:val="center"/>
        </w:trPr>
        <w:tc>
          <w:tcPr>
            <w:tcW w:w="3415" w:type="dxa"/>
          </w:tcPr>
          <w:p w14:paraId="75C95D51" w14:textId="77777777" w:rsidR="006369C0" w:rsidRPr="004B070F" w:rsidRDefault="006369C0" w:rsidP="00947EC7">
            <w:pPr>
              <w:rPr>
                <w:rFonts w:cs="Times New Roman"/>
              </w:rPr>
            </w:pPr>
            <w:r>
              <w:rPr>
                <w:rFonts w:cs="Times New Roman"/>
              </w:rPr>
              <w:t>Start and End Dates</w:t>
            </w:r>
          </w:p>
        </w:tc>
        <w:tc>
          <w:tcPr>
            <w:tcW w:w="6660" w:type="dxa"/>
          </w:tcPr>
          <w:p w14:paraId="490DF64B" w14:textId="6541FB63" w:rsidR="006369C0" w:rsidRPr="004B070F" w:rsidRDefault="00D25E50" w:rsidP="00D25E50">
            <w:pPr>
              <w:rPr>
                <w:rFonts w:cs="Times New Roman"/>
                <w:highlight w:val="yellow"/>
              </w:rPr>
            </w:pPr>
            <w:r>
              <w:rPr>
                <w:rFonts w:cs="Times New Roman"/>
                <w:noProof/>
              </w:rPr>
              <w:t>February</w:t>
            </w:r>
            <w:r w:rsidR="006369C0" w:rsidRPr="00432B0E">
              <w:rPr>
                <w:rFonts w:cs="Times New Roman"/>
                <w:noProof/>
              </w:rPr>
              <w:t xml:space="preserve"> </w:t>
            </w:r>
            <w:r>
              <w:rPr>
                <w:rFonts w:cs="Times New Roman"/>
                <w:noProof/>
              </w:rPr>
              <w:t>18</w:t>
            </w:r>
            <w:r w:rsidR="006369C0" w:rsidRPr="00432B0E">
              <w:rPr>
                <w:rFonts w:cs="Times New Roman"/>
                <w:noProof/>
              </w:rPr>
              <w:t>, 20</w:t>
            </w:r>
            <w:r w:rsidR="00812904">
              <w:rPr>
                <w:rFonts w:cs="Times New Roman"/>
                <w:noProof/>
              </w:rPr>
              <w:t>20</w:t>
            </w:r>
            <w:r w:rsidR="006369C0" w:rsidRPr="00432B0E">
              <w:rPr>
                <w:rFonts w:cs="Times New Roman"/>
                <w:noProof/>
              </w:rPr>
              <w:t xml:space="preserve"> to July 31, 202</w:t>
            </w:r>
            <w:r w:rsidR="00BC2757">
              <w:rPr>
                <w:rFonts w:cs="Times New Roman"/>
                <w:noProof/>
              </w:rPr>
              <w:t>3</w:t>
            </w:r>
          </w:p>
        </w:tc>
      </w:tr>
      <w:tr w:rsidR="006369C0" w:rsidRPr="004B070F" w14:paraId="3293CBBE" w14:textId="77777777" w:rsidTr="00CA1088">
        <w:trPr>
          <w:jc w:val="center"/>
        </w:trPr>
        <w:tc>
          <w:tcPr>
            <w:tcW w:w="3415" w:type="dxa"/>
          </w:tcPr>
          <w:p w14:paraId="3C10902E" w14:textId="77777777" w:rsidR="006369C0" w:rsidRPr="004B070F" w:rsidRDefault="006369C0">
            <w:pPr>
              <w:rPr>
                <w:rFonts w:cs="Times New Roman"/>
              </w:rPr>
            </w:pPr>
            <w:r w:rsidRPr="004B070F">
              <w:rPr>
                <w:rFonts w:cs="Times New Roman"/>
              </w:rPr>
              <w:t xml:space="preserve">Brief </w:t>
            </w:r>
            <w:r>
              <w:rPr>
                <w:rFonts w:cs="Times New Roman"/>
              </w:rPr>
              <w:t>Description of Research Project</w:t>
            </w:r>
          </w:p>
        </w:tc>
        <w:tc>
          <w:tcPr>
            <w:tcW w:w="6660" w:type="dxa"/>
          </w:tcPr>
          <w:p w14:paraId="62780CE6" w14:textId="77777777" w:rsidR="006369C0" w:rsidRPr="004B7858" w:rsidRDefault="00D53071" w:rsidP="00AB062C">
            <w:pPr>
              <w:rPr>
                <w:rFonts w:cs="Times New Roman"/>
                <w:noProof/>
                <w:szCs w:val="24"/>
              </w:rPr>
            </w:pPr>
            <w:r w:rsidRPr="00D53071">
              <w:rPr>
                <w:rFonts w:cs="Times New Roman"/>
                <w:noProof/>
                <w:szCs w:val="24"/>
              </w:rPr>
              <w:t>The Utah Department of Transportation (UDOT) has implemented a Variable Speed Limit (VSL) zone on a section of I-80 using regulatory hybrid Changeable Message Signs (CMSs). In the current systems, the CMSs have been operated with white LED numbers on the black background. However, it has been found that the visibility of those numbers that indicate speed limits has become a problem during both winter and summer seasons. Hence, UDOT is now in the process of installing a new CMS system which replaces the color of white CMS LED by yellow. In the literature, although many recent studies have studied the impacts of CMS’s visibility on improving safety, limited efforts have studied such impacts under different freeway geometric designs. By collecting historical crash locations in the VSL zones, our research team will further discuss how the new CMS can help to prevent crashes in various geometric design scenarios. By comparing the visibility of yellow-legend and white-legend CMS systems, the results will be discussed for the legend color selection for CMS. The collected safety data will be used to analyze the impacts of CMS on potential crash rate and severity using surrogate safety evaluation method.</w:t>
            </w:r>
          </w:p>
        </w:tc>
      </w:tr>
      <w:tr w:rsidR="006369C0" w:rsidRPr="004B070F" w14:paraId="09645467" w14:textId="77777777" w:rsidTr="00CA1088">
        <w:trPr>
          <w:trHeight w:val="26"/>
          <w:jc w:val="center"/>
        </w:trPr>
        <w:tc>
          <w:tcPr>
            <w:tcW w:w="3415" w:type="dxa"/>
          </w:tcPr>
          <w:p w14:paraId="5F8BC7E4" w14:textId="6C988C42" w:rsidR="006369C0" w:rsidRPr="004B070F" w:rsidRDefault="006369C0">
            <w:pPr>
              <w:rPr>
                <w:rFonts w:cs="Times New Roman"/>
              </w:rPr>
            </w:pPr>
            <w:r w:rsidRPr="004B070F">
              <w:rPr>
                <w:rFonts w:cs="Times New Roman"/>
              </w:rPr>
              <w:t>Describe Implementation of Research Outcomes (or why not implemented)</w:t>
            </w:r>
          </w:p>
          <w:p w14:paraId="108068D9" w14:textId="77777777" w:rsidR="006369C0" w:rsidRPr="004B070F" w:rsidRDefault="006369C0" w:rsidP="00BD4366">
            <w:pPr>
              <w:spacing w:before="240"/>
              <w:rPr>
                <w:rFonts w:cs="Times New Roman"/>
              </w:rPr>
            </w:pPr>
            <w:r w:rsidRPr="004B070F">
              <w:rPr>
                <w:rFonts w:cs="Times New Roman"/>
              </w:rPr>
              <w:t>Place Any Photos Here</w:t>
            </w:r>
          </w:p>
        </w:tc>
        <w:tc>
          <w:tcPr>
            <w:tcW w:w="6660" w:type="dxa"/>
          </w:tcPr>
          <w:p w14:paraId="2942F957" w14:textId="2B64DE7F" w:rsidR="006369C0" w:rsidRPr="004B070F" w:rsidRDefault="00BF1FD0" w:rsidP="00AB062C">
            <w:r w:rsidRPr="00BF1FD0">
              <w:t xml:space="preserve">Dynamic traffic management is a solution intended to boost the flow’s operation functionality due to its ability to adapt to continuously changing conditions. Road driving condition is variable in traffic network and requires dynamic control to assure safety for drivers. One of the systems used in dynamic driving environments is VSL which adjusts the speed limit considering the road conditions. Due to the exposure to frequent inclement weather in Parley’s canyon, UDOT has implemented VSL signs on I-80 from MP 128 to 141. This study helped </w:t>
            </w:r>
            <w:r w:rsidRPr="00BF1FD0">
              <w:lastRenderedPageBreak/>
              <w:t>UDOT evaluate the benefits of using yellow legends to replace the original white legends in their VSL systems.</w:t>
            </w:r>
          </w:p>
        </w:tc>
      </w:tr>
      <w:tr w:rsidR="006369C0" w:rsidRPr="004B070F" w14:paraId="3C28F3D8" w14:textId="77777777" w:rsidTr="00CA1088">
        <w:trPr>
          <w:trHeight w:val="395"/>
          <w:jc w:val="center"/>
        </w:trPr>
        <w:tc>
          <w:tcPr>
            <w:tcW w:w="3415" w:type="dxa"/>
          </w:tcPr>
          <w:p w14:paraId="6906A611" w14:textId="77777777" w:rsidR="006369C0" w:rsidRPr="004B070F" w:rsidRDefault="006369C0">
            <w:pPr>
              <w:rPr>
                <w:rFonts w:cs="Times New Roman"/>
              </w:rPr>
            </w:pPr>
            <w:r w:rsidRPr="004B070F">
              <w:rPr>
                <w:rFonts w:cs="Times New Roman"/>
              </w:rPr>
              <w:lastRenderedPageBreak/>
              <w:t>Impacts/Benefits of Implementation</w:t>
            </w:r>
          </w:p>
          <w:p w14:paraId="3F1DD249" w14:textId="77777777" w:rsidR="006369C0" w:rsidRPr="004B070F" w:rsidRDefault="006369C0">
            <w:pPr>
              <w:rPr>
                <w:rFonts w:cs="Times New Roman"/>
              </w:rPr>
            </w:pPr>
            <w:r>
              <w:rPr>
                <w:rFonts w:cs="Times New Roman"/>
              </w:rPr>
              <w:t>(actual, not anticipated)</w:t>
            </w:r>
          </w:p>
        </w:tc>
        <w:tc>
          <w:tcPr>
            <w:tcW w:w="6660" w:type="dxa"/>
          </w:tcPr>
          <w:p w14:paraId="76191AE0" w14:textId="0F277FDE" w:rsidR="006369C0" w:rsidRPr="004B070F" w:rsidRDefault="00EB3A41" w:rsidP="00AB062C">
            <w:pPr>
              <w:rPr>
                <w:rFonts w:cs="Times New Roman"/>
              </w:rPr>
            </w:pPr>
            <w:r w:rsidRPr="00EB3A41">
              <w:rPr>
                <w:rFonts w:cs="Times New Roman"/>
              </w:rPr>
              <w:t xml:space="preserve">The purpose of using amber legend is to improve visibility and alert drivers of the unusual driving conditions downstream. Driver’s compliance rate and average speed of flow are the VSL system’s most common performance indicators on a road. Moreover, studies apply drivers’ reactions and road conditions to evaluate safety. Safety appraisal studies either describe safety qualitatively by analyzing road design policies or numerical equations determining crash rates and their features. </w:t>
            </w:r>
            <w:r w:rsidR="00F6127F" w:rsidRPr="00EB3A41">
              <w:rPr>
                <w:rFonts w:cs="Times New Roman"/>
              </w:rPr>
              <w:t>Quantitative</w:t>
            </w:r>
            <w:r w:rsidRPr="00EB3A41">
              <w:rPr>
                <w:rFonts w:cs="Times New Roman"/>
              </w:rPr>
              <w:t xml:space="preserve"> methods have shown more precise results in road safety areas, and recently ML methods have outperformed other numerical methods.</w:t>
            </w:r>
          </w:p>
        </w:tc>
      </w:tr>
      <w:tr w:rsidR="006369C0" w:rsidRPr="004B070F" w14:paraId="534DC9E8" w14:textId="77777777" w:rsidTr="00CA1088">
        <w:trPr>
          <w:jc w:val="center"/>
        </w:trPr>
        <w:tc>
          <w:tcPr>
            <w:tcW w:w="3415" w:type="dxa"/>
          </w:tcPr>
          <w:p w14:paraId="0A1F71AD" w14:textId="77777777" w:rsidR="006369C0" w:rsidRPr="004B070F" w:rsidRDefault="006369C0">
            <w:pPr>
              <w:rPr>
                <w:rFonts w:cs="Times New Roman"/>
              </w:rPr>
            </w:pPr>
            <w:r w:rsidRPr="004B070F">
              <w:rPr>
                <w:rFonts w:cs="Times New Roman"/>
              </w:rPr>
              <w:t>Web Links</w:t>
            </w:r>
          </w:p>
          <w:p w14:paraId="7358A2E8" w14:textId="77777777" w:rsidR="006369C0" w:rsidRPr="004B070F" w:rsidRDefault="006369C0" w:rsidP="005739F2">
            <w:pPr>
              <w:pStyle w:val="ListParagraph"/>
              <w:numPr>
                <w:ilvl w:val="0"/>
                <w:numId w:val="2"/>
              </w:numPr>
              <w:rPr>
                <w:rFonts w:cs="Times New Roman"/>
              </w:rPr>
            </w:pPr>
            <w:r w:rsidRPr="004B070F">
              <w:rPr>
                <w:rFonts w:cs="Times New Roman"/>
              </w:rPr>
              <w:t>Reports</w:t>
            </w:r>
          </w:p>
          <w:p w14:paraId="2A6E8CCD" w14:textId="77777777" w:rsidR="006369C0" w:rsidRPr="004B7858" w:rsidRDefault="006369C0" w:rsidP="004519D5">
            <w:pPr>
              <w:pStyle w:val="ListParagraph"/>
              <w:numPr>
                <w:ilvl w:val="0"/>
                <w:numId w:val="2"/>
              </w:numPr>
              <w:rPr>
                <w:rFonts w:cs="Times New Roman"/>
              </w:rPr>
            </w:pPr>
            <w:r w:rsidRPr="004B070F">
              <w:rPr>
                <w:rFonts w:cs="Times New Roman"/>
              </w:rPr>
              <w:t>Project Website</w:t>
            </w:r>
          </w:p>
        </w:tc>
        <w:tc>
          <w:tcPr>
            <w:tcW w:w="6660" w:type="dxa"/>
          </w:tcPr>
          <w:p w14:paraId="6E1C6B50" w14:textId="1DAD1039" w:rsidR="006369C0" w:rsidRPr="00EB3A41" w:rsidRDefault="00EB3A41" w:rsidP="00EB3A41">
            <w:pPr>
              <w:pStyle w:val="ListParagraph"/>
              <w:numPr>
                <w:ilvl w:val="0"/>
                <w:numId w:val="2"/>
              </w:numPr>
              <w:ind w:left="429"/>
              <w:rPr>
                <w:rFonts w:cs="Times New Roman"/>
              </w:rPr>
            </w:pPr>
            <w:r>
              <w:rPr>
                <w:rFonts w:cs="Times New Roman"/>
              </w:rPr>
              <w:t xml:space="preserve">MPC Research Report – </w:t>
            </w:r>
            <w:hyperlink r:id="rId6" w:history="1">
              <w:r w:rsidRPr="00EB3A41">
                <w:rPr>
                  <w:rStyle w:val="Hyperlink"/>
                  <w:rFonts w:cs="Times New Roman"/>
                </w:rPr>
                <w:t>I-80 Hybrid Regulatory Speed Limit Signing Design and VSL System Evaluation</w:t>
              </w:r>
            </w:hyperlink>
          </w:p>
        </w:tc>
      </w:tr>
    </w:tbl>
    <w:p w14:paraId="6A47AE35" w14:textId="77777777" w:rsidR="006369C0" w:rsidRPr="00F25513" w:rsidRDefault="006369C0" w:rsidP="00024067">
      <w:pPr>
        <w:rPr>
          <w:rFonts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801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10007">
    <w:abstractNumId w:val="3"/>
  </w:num>
  <w:num w:numId="2" w16cid:durableId="1185554359">
    <w:abstractNumId w:val="1"/>
  </w:num>
  <w:num w:numId="3" w16cid:durableId="1873422133">
    <w:abstractNumId w:val="4"/>
  </w:num>
  <w:num w:numId="4" w16cid:durableId="414325258">
    <w:abstractNumId w:val="2"/>
  </w:num>
  <w:num w:numId="5" w16cid:durableId="1452360420">
    <w:abstractNumId w:val="0"/>
  </w:num>
  <w:num w:numId="6" w16cid:durableId="2028019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B9F"/>
    <w:rsid w:val="000078F4"/>
    <w:rsid w:val="0001290E"/>
    <w:rsid w:val="00015A9A"/>
    <w:rsid w:val="00022D93"/>
    <w:rsid w:val="00024067"/>
    <w:rsid w:val="00025CD4"/>
    <w:rsid w:val="00025DF1"/>
    <w:rsid w:val="00036F2D"/>
    <w:rsid w:val="00036F4B"/>
    <w:rsid w:val="000373A9"/>
    <w:rsid w:val="000502B3"/>
    <w:rsid w:val="000505B4"/>
    <w:rsid w:val="0005162D"/>
    <w:rsid w:val="000554DF"/>
    <w:rsid w:val="00055F72"/>
    <w:rsid w:val="000639A7"/>
    <w:rsid w:val="000722B1"/>
    <w:rsid w:val="00083487"/>
    <w:rsid w:val="00095869"/>
    <w:rsid w:val="000A6B14"/>
    <w:rsid w:val="000A7B5A"/>
    <w:rsid w:val="000C1C20"/>
    <w:rsid w:val="000E6251"/>
    <w:rsid w:val="000F25D1"/>
    <w:rsid w:val="000F2B2D"/>
    <w:rsid w:val="000F3CC9"/>
    <w:rsid w:val="000F3EED"/>
    <w:rsid w:val="00113422"/>
    <w:rsid w:val="00124459"/>
    <w:rsid w:val="00135006"/>
    <w:rsid w:val="00141F21"/>
    <w:rsid w:val="00144705"/>
    <w:rsid w:val="00153D98"/>
    <w:rsid w:val="00155AA0"/>
    <w:rsid w:val="00156068"/>
    <w:rsid w:val="001612F5"/>
    <w:rsid w:val="00167D11"/>
    <w:rsid w:val="001710A6"/>
    <w:rsid w:val="0017516D"/>
    <w:rsid w:val="00176F1C"/>
    <w:rsid w:val="00182779"/>
    <w:rsid w:val="00182C9D"/>
    <w:rsid w:val="00191E7F"/>
    <w:rsid w:val="00194A73"/>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7718"/>
    <w:rsid w:val="00250684"/>
    <w:rsid w:val="00251455"/>
    <w:rsid w:val="00265E1D"/>
    <w:rsid w:val="00277249"/>
    <w:rsid w:val="002A02C7"/>
    <w:rsid w:val="002A7D96"/>
    <w:rsid w:val="002B4105"/>
    <w:rsid w:val="002C111E"/>
    <w:rsid w:val="002C1991"/>
    <w:rsid w:val="002D0AA3"/>
    <w:rsid w:val="002D1EB6"/>
    <w:rsid w:val="002E5203"/>
    <w:rsid w:val="002F1EA9"/>
    <w:rsid w:val="002F44C5"/>
    <w:rsid w:val="002F6FE5"/>
    <w:rsid w:val="003113AA"/>
    <w:rsid w:val="003152EB"/>
    <w:rsid w:val="003342DB"/>
    <w:rsid w:val="00342B4B"/>
    <w:rsid w:val="00344EB6"/>
    <w:rsid w:val="00345ECC"/>
    <w:rsid w:val="00346FEC"/>
    <w:rsid w:val="003470FA"/>
    <w:rsid w:val="00352F16"/>
    <w:rsid w:val="00353193"/>
    <w:rsid w:val="00357985"/>
    <w:rsid w:val="00370888"/>
    <w:rsid w:val="003771C8"/>
    <w:rsid w:val="0037769A"/>
    <w:rsid w:val="00377FA5"/>
    <w:rsid w:val="00381A7C"/>
    <w:rsid w:val="00382035"/>
    <w:rsid w:val="003A1F97"/>
    <w:rsid w:val="003B0FAD"/>
    <w:rsid w:val="003B2994"/>
    <w:rsid w:val="003B6493"/>
    <w:rsid w:val="003C597A"/>
    <w:rsid w:val="003D2341"/>
    <w:rsid w:val="003E2C50"/>
    <w:rsid w:val="003E378B"/>
    <w:rsid w:val="003F4CA3"/>
    <w:rsid w:val="00400D46"/>
    <w:rsid w:val="0041641D"/>
    <w:rsid w:val="0042016D"/>
    <w:rsid w:val="00420A9E"/>
    <w:rsid w:val="004222E3"/>
    <w:rsid w:val="00430174"/>
    <w:rsid w:val="0043128E"/>
    <w:rsid w:val="004519D5"/>
    <w:rsid w:val="004549E3"/>
    <w:rsid w:val="00461AF2"/>
    <w:rsid w:val="00461EFB"/>
    <w:rsid w:val="00463B5F"/>
    <w:rsid w:val="00465817"/>
    <w:rsid w:val="00471D9C"/>
    <w:rsid w:val="004801CC"/>
    <w:rsid w:val="00485BE3"/>
    <w:rsid w:val="0049520B"/>
    <w:rsid w:val="004A27BF"/>
    <w:rsid w:val="004B070F"/>
    <w:rsid w:val="004B684F"/>
    <w:rsid w:val="004B7858"/>
    <w:rsid w:val="004C064D"/>
    <w:rsid w:val="004C50F6"/>
    <w:rsid w:val="004D13A5"/>
    <w:rsid w:val="004D2D48"/>
    <w:rsid w:val="004E13DC"/>
    <w:rsid w:val="004E2473"/>
    <w:rsid w:val="004F1053"/>
    <w:rsid w:val="005103AC"/>
    <w:rsid w:val="00520CCC"/>
    <w:rsid w:val="00522A6B"/>
    <w:rsid w:val="0054051D"/>
    <w:rsid w:val="00540E55"/>
    <w:rsid w:val="005418BF"/>
    <w:rsid w:val="00542981"/>
    <w:rsid w:val="0055016C"/>
    <w:rsid w:val="005540C1"/>
    <w:rsid w:val="005673B8"/>
    <w:rsid w:val="0057006A"/>
    <w:rsid w:val="005739F2"/>
    <w:rsid w:val="00574C0A"/>
    <w:rsid w:val="00591E92"/>
    <w:rsid w:val="00592B8A"/>
    <w:rsid w:val="005A34A9"/>
    <w:rsid w:val="005C5EFC"/>
    <w:rsid w:val="005D64F4"/>
    <w:rsid w:val="005E0BB4"/>
    <w:rsid w:val="005E1A27"/>
    <w:rsid w:val="005F7C9D"/>
    <w:rsid w:val="0060116D"/>
    <w:rsid w:val="00607128"/>
    <w:rsid w:val="006133F6"/>
    <w:rsid w:val="00615BEE"/>
    <w:rsid w:val="00620ED9"/>
    <w:rsid w:val="00626C8E"/>
    <w:rsid w:val="00633CBF"/>
    <w:rsid w:val="00636073"/>
    <w:rsid w:val="00636265"/>
    <w:rsid w:val="006369C0"/>
    <w:rsid w:val="006406FA"/>
    <w:rsid w:val="00644861"/>
    <w:rsid w:val="0065023F"/>
    <w:rsid w:val="00653BBF"/>
    <w:rsid w:val="006547BC"/>
    <w:rsid w:val="006740CA"/>
    <w:rsid w:val="006770E3"/>
    <w:rsid w:val="00692D86"/>
    <w:rsid w:val="006A6A0C"/>
    <w:rsid w:val="006B398F"/>
    <w:rsid w:val="006B5186"/>
    <w:rsid w:val="006C5A77"/>
    <w:rsid w:val="006D0A5E"/>
    <w:rsid w:val="006F1156"/>
    <w:rsid w:val="006F2A4C"/>
    <w:rsid w:val="006F6291"/>
    <w:rsid w:val="0071185B"/>
    <w:rsid w:val="0071408E"/>
    <w:rsid w:val="00720E9C"/>
    <w:rsid w:val="007247F1"/>
    <w:rsid w:val="00725E11"/>
    <w:rsid w:val="0073654F"/>
    <w:rsid w:val="00746F9F"/>
    <w:rsid w:val="00751408"/>
    <w:rsid w:val="00757D9E"/>
    <w:rsid w:val="007700A5"/>
    <w:rsid w:val="00772519"/>
    <w:rsid w:val="00776763"/>
    <w:rsid w:val="007842DA"/>
    <w:rsid w:val="00784948"/>
    <w:rsid w:val="0079432C"/>
    <w:rsid w:val="007953B4"/>
    <w:rsid w:val="007A0C7D"/>
    <w:rsid w:val="007C24D2"/>
    <w:rsid w:val="007C2BA0"/>
    <w:rsid w:val="007C4B35"/>
    <w:rsid w:val="007C4E20"/>
    <w:rsid w:val="007C5540"/>
    <w:rsid w:val="007C6A8C"/>
    <w:rsid w:val="007E3202"/>
    <w:rsid w:val="007F1224"/>
    <w:rsid w:val="007F1C7C"/>
    <w:rsid w:val="00812904"/>
    <w:rsid w:val="00820860"/>
    <w:rsid w:val="0082095E"/>
    <w:rsid w:val="00821337"/>
    <w:rsid w:val="00832B74"/>
    <w:rsid w:val="0083302C"/>
    <w:rsid w:val="00834DD0"/>
    <w:rsid w:val="008353A1"/>
    <w:rsid w:val="00835987"/>
    <w:rsid w:val="00841253"/>
    <w:rsid w:val="0085153B"/>
    <w:rsid w:val="00853B68"/>
    <w:rsid w:val="00855891"/>
    <w:rsid w:val="00863038"/>
    <w:rsid w:val="008733FB"/>
    <w:rsid w:val="008A0AFB"/>
    <w:rsid w:val="008C4D3A"/>
    <w:rsid w:val="008D4AD9"/>
    <w:rsid w:val="008D7A14"/>
    <w:rsid w:val="008E2450"/>
    <w:rsid w:val="008F3DF8"/>
    <w:rsid w:val="00900C47"/>
    <w:rsid w:val="00911460"/>
    <w:rsid w:val="009115C3"/>
    <w:rsid w:val="009276B3"/>
    <w:rsid w:val="00930A1B"/>
    <w:rsid w:val="00931512"/>
    <w:rsid w:val="009412AE"/>
    <w:rsid w:val="00947EC7"/>
    <w:rsid w:val="009504EC"/>
    <w:rsid w:val="0096505F"/>
    <w:rsid w:val="00965801"/>
    <w:rsid w:val="00965963"/>
    <w:rsid w:val="00982FF9"/>
    <w:rsid w:val="0098520A"/>
    <w:rsid w:val="00991563"/>
    <w:rsid w:val="009B1A05"/>
    <w:rsid w:val="009B37D0"/>
    <w:rsid w:val="009B6455"/>
    <w:rsid w:val="009D1318"/>
    <w:rsid w:val="009D61B8"/>
    <w:rsid w:val="009D71A7"/>
    <w:rsid w:val="009E32AE"/>
    <w:rsid w:val="009E65CC"/>
    <w:rsid w:val="009F682D"/>
    <w:rsid w:val="00A015A3"/>
    <w:rsid w:val="00A06B49"/>
    <w:rsid w:val="00A1029D"/>
    <w:rsid w:val="00A22E07"/>
    <w:rsid w:val="00A26429"/>
    <w:rsid w:val="00A326E7"/>
    <w:rsid w:val="00A35353"/>
    <w:rsid w:val="00A42DF6"/>
    <w:rsid w:val="00A46100"/>
    <w:rsid w:val="00A47880"/>
    <w:rsid w:val="00A5155B"/>
    <w:rsid w:val="00A61223"/>
    <w:rsid w:val="00A61B30"/>
    <w:rsid w:val="00A623BD"/>
    <w:rsid w:val="00A7297B"/>
    <w:rsid w:val="00A852B0"/>
    <w:rsid w:val="00AA5BEB"/>
    <w:rsid w:val="00AB062C"/>
    <w:rsid w:val="00AB0769"/>
    <w:rsid w:val="00AB37E5"/>
    <w:rsid w:val="00AC3C67"/>
    <w:rsid w:val="00AC6B81"/>
    <w:rsid w:val="00AC7284"/>
    <w:rsid w:val="00AD1BD6"/>
    <w:rsid w:val="00AD65C1"/>
    <w:rsid w:val="00AD6E8F"/>
    <w:rsid w:val="00AE0FD9"/>
    <w:rsid w:val="00AE2AF2"/>
    <w:rsid w:val="00AE424B"/>
    <w:rsid w:val="00AE5B09"/>
    <w:rsid w:val="00AF4DBA"/>
    <w:rsid w:val="00B01048"/>
    <w:rsid w:val="00B01131"/>
    <w:rsid w:val="00B0175A"/>
    <w:rsid w:val="00B063C9"/>
    <w:rsid w:val="00B14DE6"/>
    <w:rsid w:val="00B42EF8"/>
    <w:rsid w:val="00B435E3"/>
    <w:rsid w:val="00B466A2"/>
    <w:rsid w:val="00B50C0C"/>
    <w:rsid w:val="00B554FD"/>
    <w:rsid w:val="00B56CF1"/>
    <w:rsid w:val="00B56F4F"/>
    <w:rsid w:val="00B62D41"/>
    <w:rsid w:val="00B63F87"/>
    <w:rsid w:val="00B65EB3"/>
    <w:rsid w:val="00B753AD"/>
    <w:rsid w:val="00B808FD"/>
    <w:rsid w:val="00B80F8E"/>
    <w:rsid w:val="00B93CEF"/>
    <w:rsid w:val="00B95278"/>
    <w:rsid w:val="00BA79E0"/>
    <w:rsid w:val="00BB1320"/>
    <w:rsid w:val="00BC2757"/>
    <w:rsid w:val="00BC4E0F"/>
    <w:rsid w:val="00BD2E5F"/>
    <w:rsid w:val="00BD4366"/>
    <w:rsid w:val="00BD484D"/>
    <w:rsid w:val="00BD5797"/>
    <w:rsid w:val="00BF12EC"/>
    <w:rsid w:val="00BF1DA6"/>
    <w:rsid w:val="00BF1FD0"/>
    <w:rsid w:val="00BF275C"/>
    <w:rsid w:val="00C00905"/>
    <w:rsid w:val="00C010B9"/>
    <w:rsid w:val="00C05C39"/>
    <w:rsid w:val="00C06AA8"/>
    <w:rsid w:val="00C1254F"/>
    <w:rsid w:val="00C24EBB"/>
    <w:rsid w:val="00C537EA"/>
    <w:rsid w:val="00C56434"/>
    <w:rsid w:val="00C56B26"/>
    <w:rsid w:val="00C5701A"/>
    <w:rsid w:val="00C7764F"/>
    <w:rsid w:val="00C86AC4"/>
    <w:rsid w:val="00C93D8B"/>
    <w:rsid w:val="00C971CF"/>
    <w:rsid w:val="00CA1088"/>
    <w:rsid w:val="00CA2CF5"/>
    <w:rsid w:val="00CA4B6E"/>
    <w:rsid w:val="00CB2F02"/>
    <w:rsid w:val="00CB439F"/>
    <w:rsid w:val="00CB4A51"/>
    <w:rsid w:val="00CE1984"/>
    <w:rsid w:val="00CE5260"/>
    <w:rsid w:val="00CE6956"/>
    <w:rsid w:val="00CF11BA"/>
    <w:rsid w:val="00CF3C6A"/>
    <w:rsid w:val="00D25E50"/>
    <w:rsid w:val="00D415CF"/>
    <w:rsid w:val="00D50207"/>
    <w:rsid w:val="00D53071"/>
    <w:rsid w:val="00D5379D"/>
    <w:rsid w:val="00D64013"/>
    <w:rsid w:val="00D657ED"/>
    <w:rsid w:val="00D74215"/>
    <w:rsid w:val="00D76096"/>
    <w:rsid w:val="00D95BC3"/>
    <w:rsid w:val="00DA3693"/>
    <w:rsid w:val="00DA713E"/>
    <w:rsid w:val="00DB4ECC"/>
    <w:rsid w:val="00DB767A"/>
    <w:rsid w:val="00DC234C"/>
    <w:rsid w:val="00DD61DD"/>
    <w:rsid w:val="00DD6A32"/>
    <w:rsid w:val="00DE700B"/>
    <w:rsid w:val="00DE7E9D"/>
    <w:rsid w:val="00DF3B4C"/>
    <w:rsid w:val="00DF4B34"/>
    <w:rsid w:val="00E21FBA"/>
    <w:rsid w:val="00E22AC0"/>
    <w:rsid w:val="00E265D8"/>
    <w:rsid w:val="00E2770B"/>
    <w:rsid w:val="00E3612D"/>
    <w:rsid w:val="00E4047F"/>
    <w:rsid w:val="00E41F2E"/>
    <w:rsid w:val="00E52614"/>
    <w:rsid w:val="00E562BD"/>
    <w:rsid w:val="00E570E2"/>
    <w:rsid w:val="00E618A7"/>
    <w:rsid w:val="00E67770"/>
    <w:rsid w:val="00E75B7F"/>
    <w:rsid w:val="00E76878"/>
    <w:rsid w:val="00E90782"/>
    <w:rsid w:val="00E90BCE"/>
    <w:rsid w:val="00EB3A41"/>
    <w:rsid w:val="00EB69C5"/>
    <w:rsid w:val="00EC34DE"/>
    <w:rsid w:val="00ED3425"/>
    <w:rsid w:val="00EE3DC8"/>
    <w:rsid w:val="00EE529C"/>
    <w:rsid w:val="00EF72E1"/>
    <w:rsid w:val="00F04DF2"/>
    <w:rsid w:val="00F07947"/>
    <w:rsid w:val="00F108C6"/>
    <w:rsid w:val="00F13AEB"/>
    <w:rsid w:val="00F15F66"/>
    <w:rsid w:val="00F20199"/>
    <w:rsid w:val="00F20A33"/>
    <w:rsid w:val="00F20FA0"/>
    <w:rsid w:val="00F23ED6"/>
    <w:rsid w:val="00F25513"/>
    <w:rsid w:val="00F33865"/>
    <w:rsid w:val="00F35FAC"/>
    <w:rsid w:val="00F45EA0"/>
    <w:rsid w:val="00F46782"/>
    <w:rsid w:val="00F50059"/>
    <w:rsid w:val="00F52768"/>
    <w:rsid w:val="00F6127F"/>
    <w:rsid w:val="00F6271A"/>
    <w:rsid w:val="00F67BC5"/>
    <w:rsid w:val="00F80C7F"/>
    <w:rsid w:val="00F87DFA"/>
    <w:rsid w:val="00F96D62"/>
    <w:rsid w:val="00F97BE4"/>
    <w:rsid w:val="00FA3870"/>
    <w:rsid w:val="00FA3CBC"/>
    <w:rsid w:val="00FA5E45"/>
    <w:rsid w:val="00FB0895"/>
    <w:rsid w:val="00FD17F5"/>
    <w:rsid w:val="00FD1BC1"/>
    <w:rsid w:val="00FD2981"/>
    <w:rsid w:val="00FD29EF"/>
    <w:rsid w:val="00FD5E85"/>
    <w:rsid w:val="00FE14D9"/>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BB08"/>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FD0"/>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B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33B2-9CFB-45E8-8B79-CC329C8D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UTC Project Information | Impact of Regulatory Hybrid Changeable Message Sign on Traffic Safety under Different Freeway Geometric Designs</vt:lpstr>
    </vt:vector>
  </TitlesOfParts>
  <Company>DOT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Impact of Regulatory Hybrid Changeable Message Sign on Traffic Safety under Different Freeway Geometric Designs</dc:title>
  <dc:creator/>
  <cp:lastModifiedBy>Nichols, Patrick</cp:lastModifiedBy>
  <cp:revision>172</cp:revision>
  <cp:lastPrinted>2022-12-22T14:01:00Z</cp:lastPrinted>
  <dcterms:created xsi:type="dcterms:W3CDTF">2019-01-17T15:14:00Z</dcterms:created>
  <dcterms:modified xsi:type="dcterms:W3CDTF">2022-12-22T14:01:00Z</dcterms:modified>
</cp:coreProperties>
</file>