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075" w:type="dxa"/>
        <w:jc w:val="center"/>
        <w:tblCellMar>
          <w:top w:w="72" w:type="dxa"/>
          <w:left w:w="115" w:type="dxa"/>
          <w:bottom w:w="72" w:type="dxa"/>
          <w:right w:w="144" w:type="dxa"/>
        </w:tblCellMar>
        <w:tblLook w:val="0600" w:firstRow="0" w:lastRow="0" w:firstColumn="0" w:lastColumn="0" w:noHBand="1" w:noVBand="1"/>
      </w:tblPr>
      <w:tblGrid>
        <w:gridCol w:w="3415"/>
        <w:gridCol w:w="6660"/>
      </w:tblGrid>
      <w:tr w:rsidR="006369C0" w:rsidRPr="004B070F" w14:paraId="5F14C72F" w14:textId="77777777" w:rsidTr="00F3043D">
        <w:trPr>
          <w:jc w:val="center"/>
        </w:trPr>
        <w:tc>
          <w:tcPr>
            <w:tcW w:w="10075" w:type="dxa"/>
            <w:gridSpan w:val="2"/>
          </w:tcPr>
          <w:p w14:paraId="5D24927E" w14:textId="77777777" w:rsidR="006369C0" w:rsidRPr="004B070F" w:rsidRDefault="006369C0">
            <w:pPr>
              <w:rPr>
                <w:rFonts w:cs="Times New Roman"/>
                <w:b/>
                <w:sz w:val="28"/>
                <w:szCs w:val="28"/>
              </w:rPr>
            </w:pPr>
            <w:r w:rsidRPr="004B070F">
              <w:rPr>
                <w:rFonts w:cs="Times New Roman"/>
                <w:b/>
                <w:sz w:val="28"/>
                <w:szCs w:val="28"/>
              </w:rPr>
              <w:t>UTC  Project  Information</w:t>
            </w:r>
          </w:p>
        </w:tc>
      </w:tr>
      <w:tr w:rsidR="006369C0" w:rsidRPr="004B070F" w14:paraId="6DA153EC" w14:textId="77777777" w:rsidTr="00F3043D">
        <w:trPr>
          <w:jc w:val="center"/>
        </w:trPr>
        <w:tc>
          <w:tcPr>
            <w:tcW w:w="3415" w:type="dxa"/>
          </w:tcPr>
          <w:p w14:paraId="3B2A46FE" w14:textId="77777777" w:rsidR="006369C0" w:rsidRPr="004B070F" w:rsidRDefault="006369C0">
            <w:pPr>
              <w:rPr>
                <w:rFonts w:cs="Times New Roman"/>
              </w:rPr>
            </w:pPr>
            <w:r>
              <w:rPr>
                <w:rFonts w:cs="Times New Roman"/>
              </w:rPr>
              <w:t>Project Title</w:t>
            </w:r>
          </w:p>
        </w:tc>
        <w:tc>
          <w:tcPr>
            <w:tcW w:w="6660" w:type="dxa"/>
          </w:tcPr>
          <w:p w14:paraId="5FF24DD8" w14:textId="77777777" w:rsidR="006369C0" w:rsidRPr="004B7858" w:rsidRDefault="00244C18" w:rsidP="00BE1DA3">
            <w:pPr>
              <w:rPr>
                <w:rFonts w:cs="Times New Roman"/>
                <w:szCs w:val="24"/>
              </w:rPr>
            </w:pPr>
            <w:r>
              <w:rPr>
                <w:rFonts w:cs="Times New Roman"/>
                <w:noProof/>
                <w:szCs w:val="24"/>
              </w:rPr>
              <w:t>MPC-6</w:t>
            </w:r>
            <w:r w:rsidR="005540C1">
              <w:rPr>
                <w:rFonts w:cs="Times New Roman"/>
                <w:noProof/>
                <w:szCs w:val="24"/>
              </w:rPr>
              <w:t>1</w:t>
            </w:r>
            <w:r w:rsidR="00334A4C">
              <w:rPr>
                <w:rFonts w:cs="Times New Roman"/>
                <w:noProof/>
                <w:szCs w:val="24"/>
              </w:rPr>
              <w:t>9</w:t>
            </w:r>
            <w:r w:rsidR="006369C0">
              <w:rPr>
                <w:rFonts w:cs="Times New Roman"/>
                <w:szCs w:val="24"/>
              </w:rPr>
              <w:t xml:space="preserve"> – </w:t>
            </w:r>
            <w:r w:rsidR="00334A4C" w:rsidRPr="00334A4C">
              <w:rPr>
                <w:rFonts w:cs="Times New Roman"/>
                <w:szCs w:val="24"/>
              </w:rPr>
              <w:t>Evaluating Nonlinear Methods for Flood Hydrograph Generation to Evaluate Bridge Scour</w:t>
            </w:r>
          </w:p>
        </w:tc>
      </w:tr>
      <w:tr w:rsidR="006369C0" w:rsidRPr="004B070F" w14:paraId="34AEA7D2" w14:textId="77777777" w:rsidTr="00F3043D">
        <w:trPr>
          <w:jc w:val="center"/>
        </w:trPr>
        <w:tc>
          <w:tcPr>
            <w:tcW w:w="3415" w:type="dxa"/>
          </w:tcPr>
          <w:p w14:paraId="611D799F" w14:textId="77777777" w:rsidR="006369C0" w:rsidRPr="004B070F" w:rsidRDefault="006369C0">
            <w:pPr>
              <w:rPr>
                <w:rFonts w:cs="Times New Roman"/>
              </w:rPr>
            </w:pPr>
            <w:r>
              <w:rPr>
                <w:rFonts w:cs="Times New Roman"/>
              </w:rPr>
              <w:t>University</w:t>
            </w:r>
          </w:p>
        </w:tc>
        <w:tc>
          <w:tcPr>
            <w:tcW w:w="6660" w:type="dxa"/>
          </w:tcPr>
          <w:p w14:paraId="42CFB063" w14:textId="77777777" w:rsidR="006369C0" w:rsidRPr="004B7858" w:rsidRDefault="00DD3A2A" w:rsidP="00C1254F">
            <w:pPr>
              <w:jc w:val="both"/>
              <w:rPr>
                <w:rFonts w:eastAsia="Calibri" w:cs="Times New Roman"/>
                <w:szCs w:val="24"/>
              </w:rPr>
            </w:pPr>
            <w:r w:rsidRPr="00DD3A2A">
              <w:rPr>
                <w:rFonts w:eastAsia="Calibri" w:cs="Times New Roman"/>
                <w:szCs w:val="24"/>
              </w:rPr>
              <w:t>Colorado State University</w:t>
            </w:r>
          </w:p>
        </w:tc>
      </w:tr>
      <w:tr w:rsidR="006369C0" w:rsidRPr="004B070F" w14:paraId="0A1ED053" w14:textId="77777777" w:rsidTr="00F3043D">
        <w:trPr>
          <w:jc w:val="center"/>
        </w:trPr>
        <w:tc>
          <w:tcPr>
            <w:tcW w:w="3415" w:type="dxa"/>
          </w:tcPr>
          <w:p w14:paraId="2B6905AC" w14:textId="77777777" w:rsidR="006369C0" w:rsidRPr="004B070F" w:rsidRDefault="006369C0">
            <w:pPr>
              <w:rPr>
                <w:rFonts w:cs="Times New Roman"/>
              </w:rPr>
            </w:pPr>
            <w:r>
              <w:rPr>
                <w:rFonts w:cs="Times New Roman"/>
              </w:rPr>
              <w:t>Principal Investigator</w:t>
            </w:r>
          </w:p>
        </w:tc>
        <w:tc>
          <w:tcPr>
            <w:tcW w:w="6660" w:type="dxa"/>
          </w:tcPr>
          <w:p w14:paraId="770B5DEA" w14:textId="77777777" w:rsidR="006E2454" w:rsidRPr="00A5155B" w:rsidRDefault="00A07053" w:rsidP="00353193">
            <w:pPr>
              <w:rPr>
                <w:rFonts w:cs="Times New Roman"/>
                <w:noProof/>
                <w:szCs w:val="24"/>
              </w:rPr>
            </w:pPr>
            <w:r w:rsidRPr="00A07053">
              <w:rPr>
                <w:rFonts w:cs="Times New Roman"/>
                <w:noProof/>
                <w:szCs w:val="24"/>
              </w:rPr>
              <w:t>Jeffrey D. Niemann</w:t>
            </w:r>
          </w:p>
        </w:tc>
      </w:tr>
      <w:tr w:rsidR="006369C0" w:rsidRPr="004B070F" w14:paraId="3BCE5424" w14:textId="77777777" w:rsidTr="00F3043D">
        <w:trPr>
          <w:jc w:val="center"/>
        </w:trPr>
        <w:tc>
          <w:tcPr>
            <w:tcW w:w="3415" w:type="dxa"/>
          </w:tcPr>
          <w:p w14:paraId="5B2AAC6F" w14:textId="77777777" w:rsidR="006369C0" w:rsidRPr="004B070F" w:rsidRDefault="006369C0">
            <w:pPr>
              <w:rPr>
                <w:rFonts w:cs="Times New Roman"/>
              </w:rPr>
            </w:pPr>
            <w:r>
              <w:rPr>
                <w:rFonts w:cs="Times New Roman"/>
              </w:rPr>
              <w:t>PI Contact Information</w:t>
            </w:r>
          </w:p>
        </w:tc>
        <w:tc>
          <w:tcPr>
            <w:tcW w:w="6660" w:type="dxa"/>
          </w:tcPr>
          <w:p w14:paraId="0F260594" w14:textId="77777777" w:rsidR="00A07053" w:rsidRPr="00A07053" w:rsidRDefault="00A07053" w:rsidP="00A07053">
            <w:pPr>
              <w:rPr>
                <w:rFonts w:cs="Times New Roman"/>
                <w:noProof/>
                <w:szCs w:val="24"/>
              </w:rPr>
            </w:pPr>
            <w:r w:rsidRPr="00A07053">
              <w:rPr>
                <w:rFonts w:cs="Times New Roman"/>
                <w:noProof/>
                <w:szCs w:val="24"/>
              </w:rPr>
              <w:t>Faoro Professor of Water Resources</w:t>
            </w:r>
          </w:p>
          <w:p w14:paraId="40B0BDC8" w14:textId="77777777" w:rsidR="00A07053" w:rsidRPr="00A07053" w:rsidRDefault="00A07053" w:rsidP="00A07053">
            <w:pPr>
              <w:rPr>
                <w:rFonts w:cs="Times New Roman"/>
                <w:noProof/>
                <w:szCs w:val="24"/>
              </w:rPr>
            </w:pPr>
            <w:r w:rsidRPr="00A07053">
              <w:rPr>
                <w:rFonts w:cs="Times New Roman"/>
                <w:noProof/>
                <w:szCs w:val="24"/>
              </w:rPr>
              <w:t>Colorado State University</w:t>
            </w:r>
          </w:p>
          <w:p w14:paraId="576D7247" w14:textId="77777777" w:rsidR="00A07053" w:rsidRPr="00A07053" w:rsidRDefault="00A07053" w:rsidP="00A07053">
            <w:pPr>
              <w:rPr>
                <w:rFonts w:cs="Times New Roman"/>
                <w:noProof/>
                <w:szCs w:val="24"/>
              </w:rPr>
            </w:pPr>
            <w:r w:rsidRPr="00A07053">
              <w:rPr>
                <w:rFonts w:cs="Times New Roman"/>
                <w:noProof/>
                <w:szCs w:val="24"/>
              </w:rPr>
              <w:t>Phone: (970) 491-3517</w:t>
            </w:r>
          </w:p>
          <w:p w14:paraId="1CC5F8B8" w14:textId="77777777" w:rsidR="00A07053" w:rsidRPr="00A07053" w:rsidRDefault="00A07053" w:rsidP="00A07053">
            <w:pPr>
              <w:rPr>
                <w:rFonts w:cs="Times New Roman"/>
                <w:noProof/>
                <w:szCs w:val="24"/>
              </w:rPr>
            </w:pPr>
            <w:r w:rsidRPr="00A07053">
              <w:rPr>
                <w:rFonts w:cs="Times New Roman"/>
                <w:noProof/>
                <w:szCs w:val="24"/>
              </w:rPr>
              <w:t>Email: jeffrey.niemann@colostate.edu</w:t>
            </w:r>
          </w:p>
          <w:p w14:paraId="71E36609" w14:textId="77777777" w:rsidR="006369C0" w:rsidRDefault="00A07053" w:rsidP="00A07053">
            <w:pPr>
              <w:rPr>
                <w:rFonts w:cs="Times New Roman"/>
                <w:noProof/>
                <w:szCs w:val="24"/>
              </w:rPr>
            </w:pPr>
            <w:r w:rsidRPr="00A07053">
              <w:rPr>
                <w:rFonts w:cs="Times New Roman"/>
                <w:noProof/>
                <w:szCs w:val="24"/>
              </w:rPr>
              <w:t>ORCID: 0000-0002-2988-0879</w:t>
            </w:r>
          </w:p>
        </w:tc>
      </w:tr>
      <w:tr w:rsidR="006369C0" w:rsidRPr="004B070F" w14:paraId="6177AF5B" w14:textId="77777777" w:rsidTr="00F3043D">
        <w:trPr>
          <w:jc w:val="center"/>
        </w:trPr>
        <w:tc>
          <w:tcPr>
            <w:tcW w:w="3415" w:type="dxa"/>
          </w:tcPr>
          <w:p w14:paraId="757EC011" w14:textId="77777777" w:rsidR="006369C0" w:rsidRPr="004B070F" w:rsidRDefault="006369C0" w:rsidP="00947EC7">
            <w:pPr>
              <w:rPr>
                <w:rFonts w:cs="Times New Roman"/>
              </w:rPr>
            </w:pPr>
            <w:r w:rsidRPr="004B070F">
              <w:rPr>
                <w:rFonts w:cs="Times New Roman"/>
              </w:rPr>
              <w:t xml:space="preserve">Funding </w:t>
            </w:r>
            <w:r>
              <w:rPr>
                <w:rFonts w:cs="Times New Roman"/>
              </w:rPr>
              <w:t>Source(s) and Amounts Provided (by each agency or organization)</w:t>
            </w:r>
          </w:p>
        </w:tc>
        <w:tc>
          <w:tcPr>
            <w:tcW w:w="6660" w:type="dxa"/>
          </w:tcPr>
          <w:p w14:paraId="1A9B47F6" w14:textId="77777777" w:rsidR="006369C0" w:rsidRDefault="006369C0">
            <w:pPr>
              <w:rPr>
                <w:rFonts w:cs="Times New Roman"/>
              </w:rPr>
            </w:pPr>
            <w:r w:rsidRPr="00432B0E">
              <w:rPr>
                <w:rFonts w:cs="Times New Roman"/>
                <w:noProof/>
              </w:rPr>
              <w:t xml:space="preserve">USDOT, </w:t>
            </w:r>
            <w:r w:rsidR="00CB4A51" w:rsidRPr="00CB4A51">
              <w:rPr>
                <w:rFonts w:cs="Times New Roman"/>
                <w:noProof/>
              </w:rPr>
              <w:t>Office of the Assistant Secretary for Research and Technology</w:t>
            </w:r>
          </w:p>
          <w:p w14:paraId="584BBA7C" w14:textId="13E60292" w:rsidR="006369C0" w:rsidRDefault="00B14DE6" w:rsidP="00122430">
            <w:pPr>
              <w:spacing w:after="240"/>
              <w:rPr>
                <w:rFonts w:cs="Times New Roman"/>
              </w:rPr>
            </w:pPr>
            <w:r w:rsidRPr="00B14DE6">
              <w:rPr>
                <w:rFonts w:cs="Times New Roman"/>
              </w:rPr>
              <w:t>$</w:t>
            </w:r>
            <w:r w:rsidR="0076131C">
              <w:rPr>
                <w:rFonts w:cs="Times New Roman"/>
              </w:rPr>
              <w:t>6</w:t>
            </w:r>
            <w:r w:rsidR="003D19A6">
              <w:rPr>
                <w:rFonts w:cs="Times New Roman"/>
              </w:rPr>
              <w:t>0</w:t>
            </w:r>
            <w:r w:rsidR="00AC3C2D">
              <w:rPr>
                <w:rFonts w:cs="Times New Roman"/>
              </w:rPr>
              <w:t>,</w:t>
            </w:r>
            <w:r w:rsidR="003D19A6">
              <w:rPr>
                <w:rFonts w:cs="Times New Roman"/>
              </w:rPr>
              <w:t>9</w:t>
            </w:r>
            <w:r w:rsidR="00AC3C2D">
              <w:rPr>
                <w:rFonts w:cs="Times New Roman"/>
              </w:rPr>
              <w:t>00</w:t>
            </w:r>
          </w:p>
          <w:p w14:paraId="6C3E0587" w14:textId="77777777" w:rsidR="003D19A6" w:rsidRDefault="003D19A6" w:rsidP="00AC3C2D">
            <w:pPr>
              <w:rPr>
                <w:rFonts w:cs="Times New Roman"/>
              </w:rPr>
            </w:pPr>
            <w:r w:rsidRPr="003D19A6">
              <w:rPr>
                <w:rFonts w:cs="Times New Roman"/>
              </w:rPr>
              <w:t>Col</w:t>
            </w:r>
            <w:r>
              <w:rPr>
                <w:rFonts w:cs="Times New Roman"/>
              </w:rPr>
              <w:t>orado Water Conservation Board</w:t>
            </w:r>
          </w:p>
          <w:p w14:paraId="66957B53" w14:textId="65AD5147" w:rsidR="003D19A6" w:rsidRDefault="003D19A6" w:rsidP="00122430">
            <w:pPr>
              <w:spacing w:after="240"/>
              <w:rPr>
                <w:rFonts w:cs="Times New Roman"/>
              </w:rPr>
            </w:pPr>
            <w:r w:rsidRPr="003D19A6">
              <w:rPr>
                <w:rFonts w:cs="Times New Roman"/>
              </w:rPr>
              <w:t>$40,</w:t>
            </w:r>
            <w:r>
              <w:rPr>
                <w:rFonts w:cs="Times New Roman"/>
              </w:rPr>
              <w:t>000</w:t>
            </w:r>
          </w:p>
          <w:p w14:paraId="0FA9049C" w14:textId="77777777" w:rsidR="003D19A6" w:rsidRDefault="003D19A6" w:rsidP="00AC3C2D">
            <w:pPr>
              <w:rPr>
                <w:rFonts w:cs="Times New Roman"/>
              </w:rPr>
            </w:pPr>
            <w:r>
              <w:rPr>
                <w:rFonts w:cs="Times New Roman"/>
              </w:rPr>
              <w:t>Colorado State University</w:t>
            </w:r>
          </w:p>
          <w:p w14:paraId="622285E6" w14:textId="77777777" w:rsidR="006369C0" w:rsidRPr="004B070F" w:rsidRDefault="003D19A6" w:rsidP="00AC3C2D">
            <w:pPr>
              <w:rPr>
                <w:rFonts w:cs="Times New Roman"/>
              </w:rPr>
            </w:pPr>
            <w:r w:rsidRPr="003D19A6">
              <w:rPr>
                <w:rFonts w:cs="Times New Roman"/>
              </w:rPr>
              <w:t>$18,000</w:t>
            </w:r>
          </w:p>
        </w:tc>
      </w:tr>
      <w:tr w:rsidR="006369C0" w:rsidRPr="004B070F" w14:paraId="043382A8" w14:textId="77777777" w:rsidTr="00F3043D">
        <w:trPr>
          <w:jc w:val="center"/>
        </w:trPr>
        <w:tc>
          <w:tcPr>
            <w:tcW w:w="3415" w:type="dxa"/>
          </w:tcPr>
          <w:p w14:paraId="478F17FD" w14:textId="77777777" w:rsidR="006369C0" w:rsidRPr="004B070F" w:rsidRDefault="006369C0" w:rsidP="00947EC7">
            <w:pPr>
              <w:rPr>
                <w:rFonts w:cs="Times New Roman"/>
              </w:rPr>
            </w:pPr>
            <w:r>
              <w:rPr>
                <w:rFonts w:cs="Times New Roman"/>
              </w:rPr>
              <w:t xml:space="preserve">Total </w:t>
            </w:r>
            <w:r w:rsidRPr="004B070F">
              <w:rPr>
                <w:rFonts w:cs="Times New Roman"/>
              </w:rPr>
              <w:t>Project Cost</w:t>
            </w:r>
          </w:p>
        </w:tc>
        <w:tc>
          <w:tcPr>
            <w:tcW w:w="6660" w:type="dxa"/>
          </w:tcPr>
          <w:p w14:paraId="57982E42" w14:textId="77777777" w:rsidR="006369C0" w:rsidRDefault="00E3612D" w:rsidP="008D3B6D">
            <w:pPr>
              <w:rPr>
                <w:rFonts w:cs="Times New Roman"/>
              </w:rPr>
            </w:pPr>
            <w:r w:rsidRPr="00E3612D">
              <w:rPr>
                <w:rFonts w:eastAsia="Times New Roman" w:cs="Times New Roman"/>
                <w:noProof/>
                <w:color w:val="000000"/>
                <w:szCs w:val="24"/>
              </w:rPr>
              <w:t>$</w:t>
            </w:r>
            <w:r w:rsidR="008D3B6D">
              <w:rPr>
                <w:rFonts w:eastAsia="Times New Roman" w:cs="Times New Roman"/>
                <w:noProof/>
                <w:color w:val="000000"/>
                <w:szCs w:val="24"/>
              </w:rPr>
              <w:t>118</w:t>
            </w:r>
            <w:r w:rsidR="00291948" w:rsidRPr="00291948">
              <w:rPr>
                <w:rFonts w:eastAsia="Times New Roman" w:cs="Times New Roman"/>
                <w:noProof/>
                <w:color w:val="000000"/>
                <w:szCs w:val="24"/>
              </w:rPr>
              <w:t>,</w:t>
            </w:r>
            <w:r w:rsidR="008D3B6D">
              <w:rPr>
                <w:rFonts w:eastAsia="Times New Roman" w:cs="Times New Roman"/>
                <w:noProof/>
                <w:color w:val="000000"/>
                <w:szCs w:val="24"/>
              </w:rPr>
              <w:t>9</w:t>
            </w:r>
            <w:r w:rsidR="00187408">
              <w:rPr>
                <w:rFonts w:eastAsia="Times New Roman" w:cs="Times New Roman"/>
                <w:noProof/>
                <w:color w:val="000000"/>
                <w:szCs w:val="24"/>
              </w:rPr>
              <w:t>0</w:t>
            </w:r>
            <w:r w:rsidR="00805FBA">
              <w:rPr>
                <w:rFonts w:eastAsia="Times New Roman" w:cs="Times New Roman"/>
                <w:noProof/>
                <w:color w:val="000000"/>
                <w:szCs w:val="24"/>
              </w:rPr>
              <w:t>0</w:t>
            </w:r>
          </w:p>
        </w:tc>
      </w:tr>
      <w:tr w:rsidR="006369C0" w:rsidRPr="004B070F" w14:paraId="6BF2CED4" w14:textId="77777777" w:rsidTr="00F3043D">
        <w:trPr>
          <w:jc w:val="center"/>
        </w:trPr>
        <w:tc>
          <w:tcPr>
            <w:tcW w:w="3415" w:type="dxa"/>
          </w:tcPr>
          <w:p w14:paraId="472810FE" w14:textId="77777777" w:rsidR="006369C0" w:rsidRPr="004B070F" w:rsidRDefault="006369C0" w:rsidP="00947EC7">
            <w:pPr>
              <w:rPr>
                <w:rFonts w:cs="Times New Roman"/>
              </w:rPr>
            </w:pPr>
            <w:r w:rsidRPr="004B070F">
              <w:rPr>
                <w:rFonts w:cs="Times New Roman"/>
              </w:rPr>
              <w:t>Agency ID or Contract Number</w:t>
            </w:r>
          </w:p>
        </w:tc>
        <w:tc>
          <w:tcPr>
            <w:tcW w:w="6660" w:type="dxa"/>
          </w:tcPr>
          <w:p w14:paraId="6720AF52" w14:textId="77777777" w:rsidR="006369C0" w:rsidRPr="004B070F" w:rsidRDefault="006369C0">
            <w:pPr>
              <w:rPr>
                <w:rFonts w:cs="Times New Roman"/>
              </w:rPr>
            </w:pPr>
            <w:r w:rsidRPr="00432B0E">
              <w:rPr>
                <w:rFonts w:cs="Times New Roman"/>
                <w:noProof/>
              </w:rPr>
              <w:t>69A3551747108</w:t>
            </w:r>
          </w:p>
        </w:tc>
      </w:tr>
      <w:tr w:rsidR="006369C0" w:rsidRPr="004B070F" w14:paraId="4C97A61C" w14:textId="77777777" w:rsidTr="00F3043D">
        <w:trPr>
          <w:jc w:val="center"/>
        </w:trPr>
        <w:tc>
          <w:tcPr>
            <w:tcW w:w="3415" w:type="dxa"/>
          </w:tcPr>
          <w:p w14:paraId="5CF58663" w14:textId="77777777" w:rsidR="006369C0" w:rsidRPr="004B070F" w:rsidRDefault="006369C0" w:rsidP="00947EC7">
            <w:pPr>
              <w:rPr>
                <w:rFonts w:cs="Times New Roman"/>
              </w:rPr>
            </w:pPr>
            <w:r>
              <w:rPr>
                <w:rFonts w:cs="Times New Roman"/>
              </w:rPr>
              <w:t>Start and End Dates</w:t>
            </w:r>
          </w:p>
        </w:tc>
        <w:tc>
          <w:tcPr>
            <w:tcW w:w="6660" w:type="dxa"/>
          </w:tcPr>
          <w:p w14:paraId="5231690B" w14:textId="1EFFF0EB" w:rsidR="006369C0" w:rsidRPr="004B070F" w:rsidRDefault="00D25E50" w:rsidP="00D25E50">
            <w:pPr>
              <w:rPr>
                <w:rFonts w:cs="Times New Roman"/>
                <w:highlight w:val="yellow"/>
              </w:rPr>
            </w:pPr>
            <w:r>
              <w:rPr>
                <w:rFonts w:cs="Times New Roman"/>
                <w:noProof/>
              </w:rPr>
              <w:t>February</w:t>
            </w:r>
            <w:r w:rsidR="006369C0" w:rsidRPr="00432B0E">
              <w:rPr>
                <w:rFonts w:cs="Times New Roman"/>
                <w:noProof/>
              </w:rPr>
              <w:t xml:space="preserve"> </w:t>
            </w:r>
            <w:r>
              <w:rPr>
                <w:rFonts w:cs="Times New Roman"/>
                <w:noProof/>
              </w:rPr>
              <w:t>18</w:t>
            </w:r>
            <w:r w:rsidR="006369C0" w:rsidRPr="00432B0E">
              <w:rPr>
                <w:rFonts w:cs="Times New Roman"/>
                <w:noProof/>
              </w:rPr>
              <w:t>, 20</w:t>
            </w:r>
            <w:r w:rsidR="00812904">
              <w:rPr>
                <w:rFonts w:cs="Times New Roman"/>
                <w:noProof/>
              </w:rPr>
              <w:t>20</w:t>
            </w:r>
            <w:r w:rsidR="006369C0" w:rsidRPr="00432B0E">
              <w:rPr>
                <w:rFonts w:cs="Times New Roman"/>
                <w:noProof/>
              </w:rPr>
              <w:t xml:space="preserve"> to July 31, 202</w:t>
            </w:r>
            <w:r w:rsidR="00AE3276">
              <w:rPr>
                <w:rFonts w:cs="Times New Roman"/>
                <w:noProof/>
              </w:rPr>
              <w:t>3</w:t>
            </w:r>
          </w:p>
        </w:tc>
      </w:tr>
      <w:tr w:rsidR="006369C0" w:rsidRPr="004B070F" w14:paraId="6A5DF760" w14:textId="77777777" w:rsidTr="00F3043D">
        <w:trPr>
          <w:jc w:val="center"/>
        </w:trPr>
        <w:tc>
          <w:tcPr>
            <w:tcW w:w="3415" w:type="dxa"/>
          </w:tcPr>
          <w:p w14:paraId="70CC5536" w14:textId="77777777" w:rsidR="006369C0" w:rsidRPr="004B070F" w:rsidRDefault="006369C0">
            <w:pPr>
              <w:rPr>
                <w:rFonts w:cs="Times New Roman"/>
              </w:rPr>
            </w:pPr>
            <w:r w:rsidRPr="004B070F">
              <w:rPr>
                <w:rFonts w:cs="Times New Roman"/>
              </w:rPr>
              <w:t xml:space="preserve">Brief </w:t>
            </w:r>
            <w:r>
              <w:rPr>
                <w:rFonts w:cs="Times New Roman"/>
              </w:rPr>
              <w:t>Description of Research Project</w:t>
            </w:r>
          </w:p>
        </w:tc>
        <w:tc>
          <w:tcPr>
            <w:tcW w:w="6660" w:type="dxa"/>
          </w:tcPr>
          <w:p w14:paraId="69EDFF09" w14:textId="77777777" w:rsidR="006369C0" w:rsidRPr="004B7858" w:rsidRDefault="008D3649" w:rsidP="00C1015E">
            <w:pPr>
              <w:rPr>
                <w:rFonts w:cs="Times New Roman"/>
                <w:noProof/>
                <w:szCs w:val="24"/>
              </w:rPr>
            </w:pPr>
            <w:r w:rsidRPr="008D3649">
              <w:rPr>
                <w:rFonts w:cs="Times New Roman"/>
                <w:noProof/>
                <w:szCs w:val="24"/>
              </w:rPr>
              <w:t>The most common cause of bridge failures is scour of bed material around bridge foundations by floods. For non-cohesive bed material, scour can occur rapidly, and maximum scour depths can be reached during a single flood event. For cohesive bed material, scour often occurs much slower, so the cumulative contribution of multiple storm events must be considered. Bed erosion depends nonlinearly on the streamflow rate, so scour calculations require an accurate representation of the distribution of flow rates that a bridge will encounter. In some cases, stream flows are obtained from unit hydrograph (UH) theory, which assumes a linear relationship between the excess rainfall in a watershed and the resulting streamflow at the watershed outlet (upstream of the bridge). However, the linearity assumption is increasingly recognized by hydrologists as invalid. Incorrectly assuming linearity can result in underestimation of the peak flows for large flood events. The overall goal of this project is to develop guidelines for using a nonlinear UH framework that recently became available in the widely used modeling software HEC-HMS. Theoretical approaches will be developed to estimate two functions that are required to implement the UH method. Its performance will be tested by comparisons to observed hydrographs for two large flood events in four basins in the Colorado Front Range. The importance of considering nonlinearity will also be assessed by comparing design flows from linear and nonlinear UH methods and by evaluating implications for bridge scour under a range of hypothetical scenarios.</w:t>
            </w:r>
          </w:p>
        </w:tc>
      </w:tr>
      <w:tr w:rsidR="006369C0" w:rsidRPr="004B070F" w14:paraId="73DBC762" w14:textId="77777777" w:rsidTr="00F3043D">
        <w:trPr>
          <w:trHeight w:val="1034"/>
          <w:jc w:val="center"/>
        </w:trPr>
        <w:tc>
          <w:tcPr>
            <w:tcW w:w="3415" w:type="dxa"/>
          </w:tcPr>
          <w:p w14:paraId="2D97FC50" w14:textId="534862AB" w:rsidR="006369C0" w:rsidRPr="004B070F" w:rsidRDefault="006369C0" w:rsidP="00F3043D">
            <w:pPr>
              <w:spacing w:after="240"/>
              <w:rPr>
                <w:rFonts w:cs="Times New Roman"/>
              </w:rPr>
            </w:pPr>
            <w:r w:rsidRPr="004B070F">
              <w:rPr>
                <w:rFonts w:cs="Times New Roman"/>
              </w:rPr>
              <w:lastRenderedPageBreak/>
              <w:t>Describe Implementation of Research Outcomes (or why not implemented)</w:t>
            </w:r>
          </w:p>
          <w:p w14:paraId="3AB7642D" w14:textId="77777777" w:rsidR="006369C0" w:rsidRPr="004B070F" w:rsidRDefault="006369C0">
            <w:pPr>
              <w:rPr>
                <w:rFonts w:cs="Times New Roman"/>
              </w:rPr>
            </w:pPr>
            <w:r w:rsidRPr="004B070F">
              <w:rPr>
                <w:rFonts w:cs="Times New Roman"/>
              </w:rPr>
              <w:t>Place Any Photos Here</w:t>
            </w:r>
          </w:p>
        </w:tc>
        <w:tc>
          <w:tcPr>
            <w:tcW w:w="6660" w:type="dxa"/>
          </w:tcPr>
          <w:p w14:paraId="288AE765" w14:textId="23A358FF" w:rsidR="006369C0" w:rsidRPr="004B070F" w:rsidRDefault="00555051" w:rsidP="00AB062C">
            <w:r w:rsidRPr="00555051">
              <w:t>While these results suggest that the basin response can have substantial implications for scour, additional research is needed in several areas. For example, the methods should be applied to other basins within the Colorado Front Range foothills and in other regions.</w:t>
            </w:r>
          </w:p>
        </w:tc>
      </w:tr>
      <w:tr w:rsidR="006369C0" w:rsidRPr="004B070F" w14:paraId="78C18D51" w14:textId="77777777" w:rsidTr="00F3043D">
        <w:trPr>
          <w:trHeight w:val="395"/>
          <w:jc w:val="center"/>
        </w:trPr>
        <w:tc>
          <w:tcPr>
            <w:tcW w:w="3415" w:type="dxa"/>
          </w:tcPr>
          <w:p w14:paraId="517CF58F" w14:textId="77777777" w:rsidR="006369C0" w:rsidRPr="004B070F" w:rsidRDefault="006369C0">
            <w:pPr>
              <w:rPr>
                <w:rFonts w:cs="Times New Roman"/>
              </w:rPr>
            </w:pPr>
            <w:r w:rsidRPr="004B070F">
              <w:rPr>
                <w:rFonts w:cs="Times New Roman"/>
              </w:rPr>
              <w:t>Impacts/Benefits of Implementation</w:t>
            </w:r>
          </w:p>
          <w:p w14:paraId="41E54BA3" w14:textId="77777777" w:rsidR="006369C0" w:rsidRPr="004B070F" w:rsidRDefault="006369C0">
            <w:pPr>
              <w:rPr>
                <w:rFonts w:cs="Times New Roman"/>
              </w:rPr>
            </w:pPr>
            <w:r>
              <w:rPr>
                <w:rFonts w:cs="Times New Roman"/>
              </w:rPr>
              <w:t>(actual, not anticipated)</w:t>
            </w:r>
          </w:p>
        </w:tc>
        <w:tc>
          <w:tcPr>
            <w:tcW w:w="6660" w:type="dxa"/>
          </w:tcPr>
          <w:p w14:paraId="14937A25" w14:textId="2E38FE23" w:rsidR="006369C0" w:rsidRPr="004B070F" w:rsidRDefault="00555051" w:rsidP="00AB062C">
            <w:pPr>
              <w:rPr>
                <w:rFonts w:cs="Times New Roman"/>
              </w:rPr>
            </w:pPr>
            <w:r w:rsidRPr="00555051">
              <w:rPr>
                <w:rFonts w:cs="Times New Roman"/>
              </w:rPr>
              <w:t>This research demonstrated that the estimation of peak stream flows, and nonlinearity in basin response in particular, can have a significant impact on scour estimations and thus the design and safety of bridges. While further research is needed, this study provides one case study of such an effect and is expected to prompt other research in this area.</w:t>
            </w:r>
          </w:p>
        </w:tc>
      </w:tr>
      <w:tr w:rsidR="006369C0" w:rsidRPr="004B070F" w14:paraId="6D21C775" w14:textId="77777777" w:rsidTr="00F3043D">
        <w:trPr>
          <w:jc w:val="center"/>
        </w:trPr>
        <w:tc>
          <w:tcPr>
            <w:tcW w:w="3415" w:type="dxa"/>
          </w:tcPr>
          <w:p w14:paraId="34575F40" w14:textId="77777777" w:rsidR="006369C0" w:rsidRPr="004B070F" w:rsidRDefault="006369C0">
            <w:pPr>
              <w:rPr>
                <w:rFonts w:cs="Times New Roman"/>
              </w:rPr>
            </w:pPr>
            <w:r w:rsidRPr="004B070F">
              <w:rPr>
                <w:rFonts w:cs="Times New Roman"/>
              </w:rPr>
              <w:t>Web Links</w:t>
            </w:r>
          </w:p>
          <w:p w14:paraId="16EDF9C9" w14:textId="77777777" w:rsidR="006369C0" w:rsidRPr="004B070F" w:rsidRDefault="006369C0" w:rsidP="005739F2">
            <w:pPr>
              <w:pStyle w:val="ListParagraph"/>
              <w:numPr>
                <w:ilvl w:val="0"/>
                <w:numId w:val="2"/>
              </w:numPr>
              <w:rPr>
                <w:rFonts w:cs="Times New Roman"/>
              </w:rPr>
            </w:pPr>
            <w:r w:rsidRPr="004B070F">
              <w:rPr>
                <w:rFonts w:cs="Times New Roman"/>
              </w:rPr>
              <w:t>Reports</w:t>
            </w:r>
          </w:p>
          <w:p w14:paraId="42945E33" w14:textId="77777777" w:rsidR="006369C0" w:rsidRPr="004B7858" w:rsidRDefault="006369C0" w:rsidP="004519D5">
            <w:pPr>
              <w:pStyle w:val="ListParagraph"/>
              <w:numPr>
                <w:ilvl w:val="0"/>
                <w:numId w:val="2"/>
              </w:numPr>
              <w:rPr>
                <w:rFonts w:cs="Times New Roman"/>
              </w:rPr>
            </w:pPr>
            <w:r w:rsidRPr="004B070F">
              <w:rPr>
                <w:rFonts w:cs="Times New Roman"/>
              </w:rPr>
              <w:t>Project Website</w:t>
            </w:r>
          </w:p>
        </w:tc>
        <w:tc>
          <w:tcPr>
            <w:tcW w:w="6660" w:type="dxa"/>
          </w:tcPr>
          <w:p w14:paraId="50EE9D9F" w14:textId="10639A09" w:rsidR="006369C0" w:rsidRPr="008375F1" w:rsidRDefault="008375F1" w:rsidP="008375F1">
            <w:pPr>
              <w:pStyle w:val="ListParagraph"/>
              <w:numPr>
                <w:ilvl w:val="0"/>
                <w:numId w:val="2"/>
              </w:numPr>
              <w:spacing w:after="120"/>
              <w:ind w:left="418"/>
              <w:contextualSpacing w:val="0"/>
              <w:rPr>
                <w:rFonts w:cs="Times New Roman"/>
              </w:rPr>
            </w:pPr>
            <w:r>
              <w:rPr>
                <w:rFonts w:cs="Times New Roman"/>
              </w:rPr>
              <w:t xml:space="preserve">MPC Research Report – </w:t>
            </w:r>
            <w:hyperlink r:id="rId6" w:history="1">
              <w:r w:rsidRPr="008375F1">
                <w:rPr>
                  <w:rStyle w:val="Hyperlink"/>
                  <w:rFonts w:cs="Times New Roman"/>
                </w:rPr>
                <w:t>Evaluating Nonlinear Methods to Generate Flood Hydrographs for Bridge Scour Applications</w:t>
              </w:r>
            </w:hyperlink>
          </w:p>
        </w:tc>
      </w:tr>
    </w:tbl>
    <w:p w14:paraId="43EDC685" w14:textId="77777777" w:rsidR="006369C0" w:rsidRPr="00F25513" w:rsidRDefault="006369C0" w:rsidP="00024067">
      <w:pPr>
        <w:rPr>
          <w:rFonts w:cs="Times New Roman"/>
        </w:rPr>
      </w:pPr>
    </w:p>
    <w:sectPr w:rsidR="006369C0" w:rsidRPr="00F25513" w:rsidSect="006369C0">
      <w:type w:val="continuous"/>
      <w:pgSz w:w="12240" w:h="15840"/>
      <w:pgMar w:top="144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457750E"/>
    <w:multiLevelType w:val="hybridMultilevel"/>
    <w:tmpl w:val="D4BE1372"/>
    <w:lvl w:ilvl="0" w:tplc="2660918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1">
    <w:nsid w:val="1AE6279E"/>
    <w:multiLevelType w:val="hybridMultilevel"/>
    <w:tmpl w:val="AF48E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1">
    <w:nsid w:val="30D81D58"/>
    <w:multiLevelType w:val="hybridMultilevel"/>
    <w:tmpl w:val="C0AAB53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1">
    <w:nsid w:val="42C11DBC"/>
    <w:multiLevelType w:val="hybridMultilevel"/>
    <w:tmpl w:val="D8BC2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59F30D54"/>
    <w:multiLevelType w:val="hybridMultilevel"/>
    <w:tmpl w:val="F12475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1">
    <w:nsid w:val="649E5509"/>
    <w:multiLevelType w:val="hybridMultilevel"/>
    <w:tmpl w:val="FFF85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8521362">
    <w:abstractNumId w:val="3"/>
  </w:num>
  <w:num w:numId="2" w16cid:durableId="1066612612">
    <w:abstractNumId w:val="1"/>
  </w:num>
  <w:num w:numId="3" w16cid:durableId="892499119">
    <w:abstractNumId w:val="4"/>
  </w:num>
  <w:num w:numId="4" w16cid:durableId="589971046">
    <w:abstractNumId w:val="2"/>
  </w:num>
  <w:num w:numId="5" w16cid:durableId="1608581659">
    <w:abstractNumId w:val="0"/>
  </w:num>
  <w:num w:numId="6" w16cid:durableId="9506233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B30"/>
    <w:rsid w:val="00001B9F"/>
    <w:rsid w:val="00007373"/>
    <w:rsid w:val="000078F4"/>
    <w:rsid w:val="0001290E"/>
    <w:rsid w:val="00015A9A"/>
    <w:rsid w:val="00022D93"/>
    <w:rsid w:val="00024067"/>
    <w:rsid w:val="00025CD4"/>
    <w:rsid w:val="00025DF1"/>
    <w:rsid w:val="0003343C"/>
    <w:rsid w:val="00036F2D"/>
    <w:rsid w:val="00036F4B"/>
    <w:rsid w:val="000373A9"/>
    <w:rsid w:val="000502B3"/>
    <w:rsid w:val="000505B4"/>
    <w:rsid w:val="0005162D"/>
    <w:rsid w:val="000554DF"/>
    <w:rsid w:val="00055F72"/>
    <w:rsid w:val="000639A7"/>
    <w:rsid w:val="000722B1"/>
    <w:rsid w:val="00083487"/>
    <w:rsid w:val="00094116"/>
    <w:rsid w:val="00095869"/>
    <w:rsid w:val="000A6B14"/>
    <w:rsid w:val="000A7B5A"/>
    <w:rsid w:val="000C1C20"/>
    <w:rsid w:val="000E6251"/>
    <w:rsid w:val="000F25D1"/>
    <w:rsid w:val="000F2B2D"/>
    <w:rsid w:val="000F3CC9"/>
    <w:rsid w:val="000F3EED"/>
    <w:rsid w:val="00113422"/>
    <w:rsid w:val="00122430"/>
    <w:rsid w:val="00124459"/>
    <w:rsid w:val="00135006"/>
    <w:rsid w:val="00135512"/>
    <w:rsid w:val="00141F21"/>
    <w:rsid w:val="00144705"/>
    <w:rsid w:val="00153D98"/>
    <w:rsid w:val="00155AA0"/>
    <w:rsid w:val="00156068"/>
    <w:rsid w:val="001612F5"/>
    <w:rsid w:val="00167D11"/>
    <w:rsid w:val="001710A6"/>
    <w:rsid w:val="0017516D"/>
    <w:rsid w:val="00176F1C"/>
    <w:rsid w:val="00182779"/>
    <w:rsid w:val="00182C9D"/>
    <w:rsid w:val="00187408"/>
    <w:rsid w:val="00191E7F"/>
    <w:rsid w:val="00194A73"/>
    <w:rsid w:val="001B74CD"/>
    <w:rsid w:val="001D0048"/>
    <w:rsid w:val="001D1BB3"/>
    <w:rsid w:val="001E32FA"/>
    <w:rsid w:val="001E6516"/>
    <w:rsid w:val="001E6879"/>
    <w:rsid w:val="001F2747"/>
    <w:rsid w:val="001F6987"/>
    <w:rsid w:val="00200B97"/>
    <w:rsid w:val="00202273"/>
    <w:rsid w:val="002041EF"/>
    <w:rsid w:val="0021507A"/>
    <w:rsid w:val="002201AC"/>
    <w:rsid w:val="002241F0"/>
    <w:rsid w:val="00244C18"/>
    <w:rsid w:val="00247718"/>
    <w:rsid w:val="00250684"/>
    <w:rsid w:val="00251455"/>
    <w:rsid w:val="00261C20"/>
    <w:rsid w:val="00265E1D"/>
    <w:rsid w:val="00277249"/>
    <w:rsid w:val="00291948"/>
    <w:rsid w:val="002A02C7"/>
    <w:rsid w:val="002A7D96"/>
    <w:rsid w:val="002B4105"/>
    <w:rsid w:val="002C111E"/>
    <w:rsid w:val="002C1991"/>
    <w:rsid w:val="002D0AA3"/>
    <w:rsid w:val="002D1EB6"/>
    <w:rsid w:val="002E5203"/>
    <w:rsid w:val="002F1EA9"/>
    <w:rsid w:val="002F44C5"/>
    <w:rsid w:val="002F6FE5"/>
    <w:rsid w:val="003113AA"/>
    <w:rsid w:val="003152EB"/>
    <w:rsid w:val="003342DB"/>
    <w:rsid w:val="00334A4C"/>
    <w:rsid w:val="00342B4B"/>
    <w:rsid w:val="00344EB6"/>
    <w:rsid w:val="00345ECC"/>
    <w:rsid w:val="00346FEC"/>
    <w:rsid w:val="003470FA"/>
    <w:rsid w:val="00352F16"/>
    <w:rsid w:val="00353193"/>
    <w:rsid w:val="00357985"/>
    <w:rsid w:val="00367C12"/>
    <w:rsid w:val="00370888"/>
    <w:rsid w:val="003771C8"/>
    <w:rsid w:val="0037769A"/>
    <w:rsid w:val="00377FA5"/>
    <w:rsid w:val="00381A7C"/>
    <w:rsid w:val="00382035"/>
    <w:rsid w:val="003A1F97"/>
    <w:rsid w:val="003B0FAD"/>
    <w:rsid w:val="003B2994"/>
    <w:rsid w:val="003B6493"/>
    <w:rsid w:val="003C597A"/>
    <w:rsid w:val="003D19A6"/>
    <w:rsid w:val="003D2341"/>
    <w:rsid w:val="003E052B"/>
    <w:rsid w:val="003E2C50"/>
    <w:rsid w:val="003E378B"/>
    <w:rsid w:val="003F4CA3"/>
    <w:rsid w:val="00400D46"/>
    <w:rsid w:val="004052C8"/>
    <w:rsid w:val="0041641D"/>
    <w:rsid w:val="0041651B"/>
    <w:rsid w:val="0042016D"/>
    <w:rsid w:val="00420A9E"/>
    <w:rsid w:val="004222E3"/>
    <w:rsid w:val="00423B9D"/>
    <w:rsid w:val="00430174"/>
    <w:rsid w:val="0043128E"/>
    <w:rsid w:val="00450E01"/>
    <w:rsid w:val="004519D5"/>
    <w:rsid w:val="004549E3"/>
    <w:rsid w:val="00461AF2"/>
    <w:rsid w:val="00461EFB"/>
    <w:rsid w:val="00463B5F"/>
    <w:rsid w:val="00465817"/>
    <w:rsid w:val="00471D9C"/>
    <w:rsid w:val="004801CC"/>
    <w:rsid w:val="00485BE3"/>
    <w:rsid w:val="0049520B"/>
    <w:rsid w:val="004A27BF"/>
    <w:rsid w:val="004A5A38"/>
    <w:rsid w:val="004B070F"/>
    <w:rsid w:val="004B684F"/>
    <w:rsid w:val="004B7858"/>
    <w:rsid w:val="004B79A5"/>
    <w:rsid w:val="004C064D"/>
    <w:rsid w:val="004C50F6"/>
    <w:rsid w:val="004D13A5"/>
    <w:rsid w:val="004D2D48"/>
    <w:rsid w:val="004E13DC"/>
    <w:rsid w:val="004E2473"/>
    <w:rsid w:val="004F1053"/>
    <w:rsid w:val="005103AC"/>
    <w:rsid w:val="00520CCC"/>
    <w:rsid w:val="00522A6B"/>
    <w:rsid w:val="0054051D"/>
    <w:rsid w:val="00540E55"/>
    <w:rsid w:val="005418BF"/>
    <w:rsid w:val="00542981"/>
    <w:rsid w:val="0055016C"/>
    <w:rsid w:val="00552B4A"/>
    <w:rsid w:val="005540C1"/>
    <w:rsid w:val="00555051"/>
    <w:rsid w:val="005613CD"/>
    <w:rsid w:val="005673B8"/>
    <w:rsid w:val="0057006A"/>
    <w:rsid w:val="00572A9E"/>
    <w:rsid w:val="005739F2"/>
    <w:rsid w:val="00574C0A"/>
    <w:rsid w:val="00591E92"/>
    <w:rsid w:val="00592B8A"/>
    <w:rsid w:val="005A34A9"/>
    <w:rsid w:val="005C5EFC"/>
    <w:rsid w:val="005D64F4"/>
    <w:rsid w:val="005E0BB4"/>
    <w:rsid w:val="005E1A27"/>
    <w:rsid w:val="005F7C9D"/>
    <w:rsid w:val="0060116D"/>
    <w:rsid w:val="00607128"/>
    <w:rsid w:val="006133F6"/>
    <w:rsid w:val="00615BEE"/>
    <w:rsid w:val="00620ED9"/>
    <w:rsid w:val="00626C8E"/>
    <w:rsid w:val="00633CBF"/>
    <w:rsid w:val="00636073"/>
    <w:rsid w:val="00636265"/>
    <w:rsid w:val="006369C0"/>
    <w:rsid w:val="006406FA"/>
    <w:rsid w:val="00644861"/>
    <w:rsid w:val="0065023F"/>
    <w:rsid w:val="00650A3E"/>
    <w:rsid w:val="00653BBF"/>
    <w:rsid w:val="006547BC"/>
    <w:rsid w:val="006740CA"/>
    <w:rsid w:val="006770E3"/>
    <w:rsid w:val="006919D5"/>
    <w:rsid w:val="00692D86"/>
    <w:rsid w:val="006A1310"/>
    <w:rsid w:val="006A6A0C"/>
    <w:rsid w:val="006B398F"/>
    <w:rsid w:val="006B5186"/>
    <w:rsid w:val="006C5A77"/>
    <w:rsid w:val="006D0A5E"/>
    <w:rsid w:val="006E2454"/>
    <w:rsid w:val="006E7362"/>
    <w:rsid w:val="006F1156"/>
    <w:rsid w:val="006F2A4C"/>
    <w:rsid w:val="006F6291"/>
    <w:rsid w:val="0070763B"/>
    <w:rsid w:val="0071185B"/>
    <w:rsid w:val="0071408E"/>
    <w:rsid w:val="00720E9C"/>
    <w:rsid w:val="007247F1"/>
    <w:rsid w:val="00725E11"/>
    <w:rsid w:val="0073654F"/>
    <w:rsid w:val="00746F9F"/>
    <w:rsid w:val="00751408"/>
    <w:rsid w:val="00757D9E"/>
    <w:rsid w:val="0076131C"/>
    <w:rsid w:val="00761FBD"/>
    <w:rsid w:val="00765E9F"/>
    <w:rsid w:val="007700A5"/>
    <w:rsid w:val="00772519"/>
    <w:rsid w:val="00772BA3"/>
    <w:rsid w:val="00776763"/>
    <w:rsid w:val="007842DA"/>
    <w:rsid w:val="00784948"/>
    <w:rsid w:val="0079432C"/>
    <w:rsid w:val="007953B4"/>
    <w:rsid w:val="007A0C7D"/>
    <w:rsid w:val="007C24D2"/>
    <w:rsid w:val="007C2BA0"/>
    <w:rsid w:val="007C4B35"/>
    <w:rsid w:val="007C4E20"/>
    <w:rsid w:val="007C5540"/>
    <w:rsid w:val="007C6A8C"/>
    <w:rsid w:val="007E3202"/>
    <w:rsid w:val="007F1224"/>
    <w:rsid w:val="007F1C7C"/>
    <w:rsid w:val="00805FBA"/>
    <w:rsid w:val="00812904"/>
    <w:rsid w:val="008158F8"/>
    <w:rsid w:val="00820860"/>
    <w:rsid w:val="0082095E"/>
    <w:rsid w:val="00821337"/>
    <w:rsid w:val="00832B74"/>
    <w:rsid w:val="0083302C"/>
    <w:rsid w:val="00834DD0"/>
    <w:rsid w:val="008353A1"/>
    <w:rsid w:val="008355EE"/>
    <w:rsid w:val="00835987"/>
    <w:rsid w:val="008375F1"/>
    <w:rsid w:val="00841253"/>
    <w:rsid w:val="0085153B"/>
    <w:rsid w:val="00853B68"/>
    <w:rsid w:val="008557A8"/>
    <w:rsid w:val="00855891"/>
    <w:rsid w:val="00863038"/>
    <w:rsid w:val="008733FB"/>
    <w:rsid w:val="008A0AFB"/>
    <w:rsid w:val="008B09A8"/>
    <w:rsid w:val="008B4661"/>
    <w:rsid w:val="008C4D3A"/>
    <w:rsid w:val="008D3649"/>
    <w:rsid w:val="008D3B6D"/>
    <w:rsid w:val="008D4AD9"/>
    <w:rsid w:val="008D7A14"/>
    <w:rsid w:val="008E2450"/>
    <w:rsid w:val="008F3DF8"/>
    <w:rsid w:val="00900C47"/>
    <w:rsid w:val="00907132"/>
    <w:rsid w:val="00911460"/>
    <w:rsid w:val="009115C3"/>
    <w:rsid w:val="00920002"/>
    <w:rsid w:val="009276B3"/>
    <w:rsid w:val="00927882"/>
    <w:rsid w:val="00930A1B"/>
    <w:rsid w:val="00931512"/>
    <w:rsid w:val="009411DA"/>
    <w:rsid w:val="009412AE"/>
    <w:rsid w:val="00947EC7"/>
    <w:rsid w:val="009504EC"/>
    <w:rsid w:val="0096505F"/>
    <w:rsid w:val="00965801"/>
    <w:rsid w:val="00965963"/>
    <w:rsid w:val="00976CEB"/>
    <w:rsid w:val="00982FF9"/>
    <w:rsid w:val="0098520A"/>
    <w:rsid w:val="00991563"/>
    <w:rsid w:val="009A4724"/>
    <w:rsid w:val="009B1A05"/>
    <w:rsid w:val="009B37D0"/>
    <w:rsid w:val="009B4250"/>
    <w:rsid w:val="009B6455"/>
    <w:rsid w:val="009D1318"/>
    <w:rsid w:val="009D61B8"/>
    <w:rsid w:val="009D71A7"/>
    <w:rsid w:val="009E32AE"/>
    <w:rsid w:val="009E65CC"/>
    <w:rsid w:val="009F682D"/>
    <w:rsid w:val="00A015A3"/>
    <w:rsid w:val="00A05E7E"/>
    <w:rsid w:val="00A06B49"/>
    <w:rsid w:val="00A07053"/>
    <w:rsid w:val="00A1029D"/>
    <w:rsid w:val="00A22E07"/>
    <w:rsid w:val="00A26429"/>
    <w:rsid w:val="00A326E7"/>
    <w:rsid w:val="00A35353"/>
    <w:rsid w:val="00A42DF6"/>
    <w:rsid w:val="00A46100"/>
    <w:rsid w:val="00A47880"/>
    <w:rsid w:val="00A5155B"/>
    <w:rsid w:val="00A52709"/>
    <w:rsid w:val="00A61223"/>
    <w:rsid w:val="00A61B30"/>
    <w:rsid w:val="00A623BD"/>
    <w:rsid w:val="00A7297B"/>
    <w:rsid w:val="00A852B0"/>
    <w:rsid w:val="00AA5BEB"/>
    <w:rsid w:val="00AB062C"/>
    <w:rsid w:val="00AB0769"/>
    <w:rsid w:val="00AB0D2E"/>
    <w:rsid w:val="00AB37E5"/>
    <w:rsid w:val="00AC3C2D"/>
    <w:rsid w:val="00AC3C67"/>
    <w:rsid w:val="00AC6B81"/>
    <w:rsid w:val="00AC7284"/>
    <w:rsid w:val="00AD1BD6"/>
    <w:rsid w:val="00AD65C1"/>
    <w:rsid w:val="00AD6E8F"/>
    <w:rsid w:val="00AE0FD9"/>
    <w:rsid w:val="00AE2AF2"/>
    <w:rsid w:val="00AE3276"/>
    <w:rsid w:val="00AE424B"/>
    <w:rsid w:val="00AE5B09"/>
    <w:rsid w:val="00AF4DBA"/>
    <w:rsid w:val="00B01048"/>
    <w:rsid w:val="00B01131"/>
    <w:rsid w:val="00B0175A"/>
    <w:rsid w:val="00B063C9"/>
    <w:rsid w:val="00B14DE6"/>
    <w:rsid w:val="00B42EF8"/>
    <w:rsid w:val="00B435E3"/>
    <w:rsid w:val="00B466A2"/>
    <w:rsid w:val="00B50C0C"/>
    <w:rsid w:val="00B554FD"/>
    <w:rsid w:val="00B56CF1"/>
    <w:rsid w:val="00B56F4F"/>
    <w:rsid w:val="00B62D41"/>
    <w:rsid w:val="00B63F87"/>
    <w:rsid w:val="00B65EB3"/>
    <w:rsid w:val="00B753AD"/>
    <w:rsid w:val="00B808FD"/>
    <w:rsid w:val="00B80F8E"/>
    <w:rsid w:val="00B93CEF"/>
    <w:rsid w:val="00B95278"/>
    <w:rsid w:val="00B9798B"/>
    <w:rsid w:val="00BA79E0"/>
    <w:rsid w:val="00BB1320"/>
    <w:rsid w:val="00BB16EE"/>
    <w:rsid w:val="00BC23E8"/>
    <w:rsid w:val="00BC4E0F"/>
    <w:rsid w:val="00BD2E5F"/>
    <w:rsid w:val="00BD484D"/>
    <w:rsid w:val="00BD5797"/>
    <w:rsid w:val="00BE1DA3"/>
    <w:rsid w:val="00BF12EC"/>
    <w:rsid w:val="00BF199C"/>
    <w:rsid w:val="00BF1DA6"/>
    <w:rsid w:val="00BF275C"/>
    <w:rsid w:val="00C00905"/>
    <w:rsid w:val="00C010B9"/>
    <w:rsid w:val="00C05C39"/>
    <w:rsid w:val="00C06AA8"/>
    <w:rsid w:val="00C1015E"/>
    <w:rsid w:val="00C1254F"/>
    <w:rsid w:val="00C24EBB"/>
    <w:rsid w:val="00C33CA3"/>
    <w:rsid w:val="00C537EA"/>
    <w:rsid w:val="00C56434"/>
    <w:rsid w:val="00C56B26"/>
    <w:rsid w:val="00C5701A"/>
    <w:rsid w:val="00C7764F"/>
    <w:rsid w:val="00C86AC4"/>
    <w:rsid w:val="00C93D8B"/>
    <w:rsid w:val="00C971CF"/>
    <w:rsid w:val="00CA2CF5"/>
    <w:rsid w:val="00CB439F"/>
    <w:rsid w:val="00CB4A51"/>
    <w:rsid w:val="00CE1984"/>
    <w:rsid w:val="00CE5260"/>
    <w:rsid w:val="00CE6956"/>
    <w:rsid w:val="00CF11BA"/>
    <w:rsid w:val="00CF3C6A"/>
    <w:rsid w:val="00D14607"/>
    <w:rsid w:val="00D25E50"/>
    <w:rsid w:val="00D2662E"/>
    <w:rsid w:val="00D415CF"/>
    <w:rsid w:val="00D45A14"/>
    <w:rsid w:val="00D50207"/>
    <w:rsid w:val="00D53071"/>
    <w:rsid w:val="00D5379D"/>
    <w:rsid w:val="00D64013"/>
    <w:rsid w:val="00D657ED"/>
    <w:rsid w:val="00D74215"/>
    <w:rsid w:val="00D76096"/>
    <w:rsid w:val="00D95BC3"/>
    <w:rsid w:val="00DA3693"/>
    <w:rsid w:val="00DA713E"/>
    <w:rsid w:val="00DB4ECC"/>
    <w:rsid w:val="00DB767A"/>
    <w:rsid w:val="00DC234C"/>
    <w:rsid w:val="00DC6752"/>
    <w:rsid w:val="00DD3A2A"/>
    <w:rsid w:val="00DD61DD"/>
    <w:rsid w:val="00DD6A32"/>
    <w:rsid w:val="00DE700B"/>
    <w:rsid w:val="00DE7E9D"/>
    <w:rsid w:val="00DF3B4C"/>
    <w:rsid w:val="00DF4B34"/>
    <w:rsid w:val="00E15B0C"/>
    <w:rsid w:val="00E21FBA"/>
    <w:rsid w:val="00E22AC0"/>
    <w:rsid w:val="00E265D8"/>
    <w:rsid w:val="00E2770B"/>
    <w:rsid w:val="00E3612D"/>
    <w:rsid w:val="00E4047F"/>
    <w:rsid w:val="00E41F2E"/>
    <w:rsid w:val="00E52614"/>
    <w:rsid w:val="00E562BD"/>
    <w:rsid w:val="00E570E2"/>
    <w:rsid w:val="00E67770"/>
    <w:rsid w:val="00E70959"/>
    <w:rsid w:val="00E75B7F"/>
    <w:rsid w:val="00E90782"/>
    <w:rsid w:val="00E90BCE"/>
    <w:rsid w:val="00EA12E5"/>
    <w:rsid w:val="00EB69C5"/>
    <w:rsid w:val="00EC34DE"/>
    <w:rsid w:val="00ED3425"/>
    <w:rsid w:val="00EE3DC8"/>
    <w:rsid w:val="00EE529C"/>
    <w:rsid w:val="00EE6C73"/>
    <w:rsid w:val="00EF72E1"/>
    <w:rsid w:val="00F04DF2"/>
    <w:rsid w:val="00F07947"/>
    <w:rsid w:val="00F108C6"/>
    <w:rsid w:val="00F13AEB"/>
    <w:rsid w:val="00F15F66"/>
    <w:rsid w:val="00F20199"/>
    <w:rsid w:val="00F20A33"/>
    <w:rsid w:val="00F20FA0"/>
    <w:rsid w:val="00F23ED6"/>
    <w:rsid w:val="00F25513"/>
    <w:rsid w:val="00F3043D"/>
    <w:rsid w:val="00F33865"/>
    <w:rsid w:val="00F35FAC"/>
    <w:rsid w:val="00F45EA0"/>
    <w:rsid w:val="00F46782"/>
    <w:rsid w:val="00F50059"/>
    <w:rsid w:val="00F52768"/>
    <w:rsid w:val="00F61209"/>
    <w:rsid w:val="00F6271A"/>
    <w:rsid w:val="00F67BC5"/>
    <w:rsid w:val="00F80C7F"/>
    <w:rsid w:val="00F85B6E"/>
    <w:rsid w:val="00F87DFA"/>
    <w:rsid w:val="00F96D62"/>
    <w:rsid w:val="00F97BE4"/>
    <w:rsid w:val="00FA3870"/>
    <w:rsid w:val="00FA3CBC"/>
    <w:rsid w:val="00FA5E45"/>
    <w:rsid w:val="00FB0895"/>
    <w:rsid w:val="00FD17F5"/>
    <w:rsid w:val="00FD1BC1"/>
    <w:rsid w:val="00FD2981"/>
    <w:rsid w:val="00FD29EF"/>
    <w:rsid w:val="00FD5E85"/>
    <w:rsid w:val="00FD71D6"/>
    <w:rsid w:val="00FE14D9"/>
    <w:rsid w:val="00FF1F4D"/>
    <w:rsid w:val="00FF5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17A19"/>
  <w15:docId w15:val="{2AA4EDB8-E568-4A5A-BBA5-B0ADF0C88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7132"/>
    <w:rPr>
      <w:rFonts w:ascii="Times New Roman" w:hAnsi="Times New Roman"/>
    </w:rPr>
  </w:style>
  <w:style w:type="paragraph" w:styleId="Heading1">
    <w:name w:val="heading 1"/>
    <w:basedOn w:val="Normal"/>
    <w:next w:val="Normal"/>
    <w:link w:val="Heading1Char"/>
    <w:uiPriority w:val="9"/>
    <w:qFormat/>
    <w:rsid w:val="00FD5E85"/>
    <w:pPr>
      <w:keepNext/>
      <w:keepLines/>
      <w:spacing w:after="120"/>
      <w:outlineLvl w:val="0"/>
    </w:pPr>
    <w:rPr>
      <w:rFonts w:eastAsiaTheme="majorEastAsia" w:cstheme="majorBidi"/>
      <w:b/>
      <w:bCs/>
      <w:sz w:val="24"/>
      <w:szCs w:val="28"/>
    </w:rPr>
  </w:style>
  <w:style w:type="paragraph" w:styleId="Heading3">
    <w:name w:val="heading 3"/>
    <w:basedOn w:val="Normal"/>
    <w:next w:val="Normal"/>
    <w:link w:val="Heading3Char"/>
    <w:uiPriority w:val="9"/>
    <w:semiHidden/>
    <w:unhideWhenUsed/>
    <w:qFormat/>
    <w:rsid w:val="001F698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1B3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39F2"/>
    <w:pPr>
      <w:ind w:left="720"/>
      <w:contextualSpacing/>
    </w:pPr>
  </w:style>
  <w:style w:type="character" w:styleId="Hyperlink">
    <w:name w:val="Hyperlink"/>
    <w:basedOn w:val="DefaultParagraphFont"/>
    <w:uiPriority w:val="99"/>
    <w:unhideWhenUsed/>
    <w:rsid w:val="00B01048"/>
    <w:rPr>
      <w:color w:val="0000FF"/>
      <w:u w:val="single"/>
    </w:rPr>
  </w:style>
  <w:style w:type="character" w:customStyle="1" w:styleId="Heading1Char">
    <w:name w:val="Heading 1 Char"/>
    <w:basedOn w:val="DefaultParagraphFont"/>
    <w:link w:val="Heading1"/>
    <w:uiPriority w:val="9"/>
    <w:rsid w:val="00FD5E85"/>
    <w:rPr>
      <w:rFonts w:ascii="Times New Roman" w:eastAsiaTheme="majorEastAsia" w:hAnsi="Times New Roman" w:cstheme="majorBidi"/>
      <w:b/>
      <w:bCs/>
      <w:sz w:val="24"/>
      <w:szCs w:val="28"/>
    </w:rPr>
  </w:style>
  <w:style w:type="paragraph" w:styleId="List">
    <w:name w:val="List"/>
    <w:basedOn w:val="Normal"/>
    <w:rsid w:val="006740CA"/>
    <w:pPr>
      <w:spacing w:after="0"/>
      <w:ind w:left="360" w:hanging="360"/>
    </w:pPr>
    <w:rPr>
      <w:rFonts w:eastAsia="Times New Roman" w:cs="Times New Roman"/>
      <w:sz w:val="24"/>
      <w:szCs w:val="24"/>
    </w:rPr>
  </w:style>
  <w:style w:type="character" w:customStyle="1" w:styleId="Heading3Char">
    <w:name w:val="Heading 3 Char"/>
    <w:basedOn w:val="DefaultParagraphFont"/>
    <w:link w:val="Heading3"/>
    <w:uiPriority w:val="9"/>
    <w:semiHidden/>
    <w:rsid w:val="001F6987"/>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8375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296924">
      <w:bodyDiv w:val="1"/>
      <w:marLeft w:val="0"/>
      <w:marRight w:val="0"/>
      <w:marTop w:val="0"/>
      <w:marBottom w:val="0"/>
      <w:divBdr>
        <w:top w:val="none" w:sz="0" w:space="0" w:color="auto"/>
        <w:left w:val="none" w:sz="0" w:space="0" w:color="auto"/>
        <w:bottom w:val="none" w:sz="0" w:space="0" w:color="auto"/>
        <w:right w:val="none" w:sz="0" w:space="0" w:color="auto"/>
      </w:divBdr>
    </w:div>
    <w:div w:id="998922668">
      <w:bodyDiv w:val="1"/>
      <w:marLeft w:val="0"/>
      <w:marRight w:val="0"/>
      <w:marTop w:val="0"/>
      <w:marBottom w:val="0"/>
      <w:divBdr>
        <w:top w:val="none" w:sz="0" w:space="0" w:color="auto"/>
        <w:left w:val="none" w:sz="0" w:space="0" w:color="auto"/>
        <w:bottom w:val="none" w:sz="0" w:space="0" w:color="auto"/>
        <w:right w:val="none" w:sz="0" w:space="0" w:color="auto"/>
      </w:divBdr>
    </w:div>
    <w:div w:id="1012731067">
      <w:bodyDiv w:val="1"/>
      <w:marLeft w:val="0"/>
      <w:marRight w:val="0"/>
      <w:marTop w:val="0"/>
      <w:marBottom w:val="0"/>
      <w:divBdr>
        <w:top w:val="none" w:sz="0" w:space="0" w:color="auto"/>
        <w:left w:val="none" w:sz="0" w:space="0" w:color="auto"/>
        <w:bottom w:val="none" w:sz="0" w:space="0" w:color="auto"/>
        <w:right w:val="none" w:sz="0" w:space="0" w:color="auto"/>
      </w:divBdr>
    </w:div>
    <w:div w:id="153387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gpti.org/resources/reports/details.php?id=1112"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5DEEAC-069C-42A3-99DB-57665A3D6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2</Pages>
  <Words>506</Words>
  <Characters>2886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UTC Project Information | Evaluating Nonlinear Methods for Flood Hydrograph Generation to Evaluate Bridge Scour</vt:lpstr>
    </vt:vector>
  </TitlesOfParts>
  <Company>DOT</Company>
  <LinksUpToDate>false</LinksUpToDate>
  <CharactersWithSpaces>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UTC Project Information | Evaluating Nonlinear Methods for Flood Hydrograph Generation to Evaluate Bridge Scour</dc:title>
  <dc:creator/>
  <cp:lastModifiedBy>Nichols, Patrick</cp:lastModifiedBy>
  <cp:revision>244</cp:revision>
  <cp:lastPrinted>2023-01-17T05:46:00Z</cp:lastPrinted>
  <dcterms:created xsi:type="dcterms:W3CDTF">2019-01-17T15:14:00Z</dcterms:created>
  <dcterms:modified xsi:type="dcterms:W3CDTF">2023-01-17T05:46:00Z</dcterms:modified>
</cp:coreProperties>
</file>