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Pr>
      <w:tblGrid>
        <w:gridCol w:w="3415"/>
        <w:gridCol w:w="6660"/>
      </w:tblGrid>
      <w:tr w:rsidR="006369C0" w:rsidRPr="004B070F" w14:paraId="5D513520" w14:textId="77777777" w:rsidTr="00A25691">
        <w:trPr>
          <w:jc w:val="center"/>
        </w:trPr>
        <w:tc>
          <w:tcPr>
            <w:tcW w:w="10075" w:type="dxa"/>
            <w:gridSpan w:val="2"/>
          </w:tcPr>
          <w:p w14:paraId="52C1511A"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04B418F5" w14:textId="77777777" w:rsidTr="00A25691">
        <w:trPr>
          <w:jc w:val="center"/>
        </w:trPr>
        <w:tc>
          <w:tcPr>
            <w:tcW w:w="3415" w:type="dxa"/>
          </w:tcPr>
          <w:p w14:paraId="0F6FEEEF" w14:textId="77777777" w:rsidR="006369C0" w:rsidRPr="004B070F" w:rsidRDefault="006369C0">
            <w:pPr>
              <w:rPr>
                <w:rFonts w:cs="Times New Roman"/>
              </w:rPr>
            </w:pPr>
            <w:r>
              <w:rPr>
                <w:rFonts w:cs="Times New Roman"/>
              </w:rPr>
              <w:t>Project Title</w:t>
            </w:r>
          </w:p>
        </w:tc>
        <w:tc>
          <w:tcPr>
            <w:tcW w:w="6660" w:type="dxa"/>
          </w:tcPr>
          <w:p w14:paraId="542E064A" w14:textId="77777777" w:rsidR="006369C0" w:rsidRPr="004B7858" w:rsidRDefault="00244C18" w:rsidP="002960EA">
            <w:pPr>
              <w:rPr>
                <w:rFonts w:cs="Times New Roman"/>
                <w:szCs w:val="24"/>
              </w:rPr>
            </w:pPr>
            <w:r>
              <w:rPr>
                <w:rFonts w:cs="Times New Roman"/>
                <w:noProof/>
                <w:szCs w:val="24"/>
              </w:rPr>
              <w:t>MPC-6</w:t>
            </w:r>
            <w:r w:rsidR="00797050">
              <w:rPr>
                <w:rFonts w:cs="Times New Roman"/>
                <w:noProof/>
                <w:szCs w:val="24"/>
              </w:rPr>
              <w:t>3</w:t>
            </w:r>
            <w:r w:rsidR="0099166A">
              <w:rPr>
                <w:rFonts w:cs="Times New Roman"/>
                <w:noProof/>
                <w:szCs w:val="24"/>
              </w:rPr>
              <w:t>8</w:t>
            </w:r>
            <w:r w:rsidR="006369C0">
              <w:rPr>
                <w:rFonts w:cs="Times New Roman"/>
                <w:szCs w:val="24"/>
              </w:rPr>
              <w:t xml:space="preserve"> – </w:t>
            </w:r>
            <w:r w:rsidR="0099166A" w:rsidRPr="0099166A">
              <w:rPr>
                <w:rFonts w:cs="Times New Roman"/>
                <w:szCs w:val="24"/>
              </w:rPr>
              <w:t>Analysis of ABC Bridge Column-to-Footing Joints with Recessed Splice Sleeve Connectors</w:t>
            </w:r>
          </w:p>
        </w:tc>
      </w:tr>
      <w:tr w:rsidR="006369C0" w:rsidRPr="004B070F" w14:paraId="26393D9A" w14:textId="77777777" w:rsidTr="00A25691">
        <w:trPr>
          <w:jc w:val="center"/>
        </w:trPr>
        <w:tc>
          <w:tcPr>
            <w:tcW w:w="3415" w:type="dxa"/>
          </w:tcPr>
          <w:p w14:paraId="0C2E1AD7" w14:textId="77777777" w:rsidR="006369C0" w:rsidRPr="004B070F" w:rsidRDefault="006369C0">
            <w:pPr>
              <w:rPr>
                <w:rFonts w:cs="Times New Roman"/>
              </w:rPr>
            </w:pPr>
            <w:r>
              <w:rPr>
                <w:rFonts w:cs="Times New Roman"/>
              </w:rPr>
              <w:t>University</w:t>
            </w:r>
          </w:p>
        </w:tc>
        <w:tc>
          <w:tcPr>
            <w:tcW w:w="6660" w:type="dxa"/>
          </w:tcPr>
          <w:p w14:paraId="5FC8678C" w14:textId="77777777" w:rsidR="006369C0" w:rsidRPr="004B7858" w:rsidRDefault="001566D6" w:rsidP="00C1254F">
            <w:pPr>
              <w:jc w:val="both"/>
              <w:rPr>
                <w:rFonts w:eastAsia="Calibri" w:cs="Times New Roman"/>
                <w:szCs w:val="24"/>
              </w:rPr>
            </w:pPr>
            <w:r w:rsidRPr="001566D6">
              <w:rPr>
                <w:rFonts w:eastAsia="Calibri" w:cs="Times New Roman"/>
                <w:szCs w:val="24"/>
              </w:rPr>
              <w:t>University of Utah</w:t>
            </w:r>
          </w:p>
        </w:tc>
      </w:tr>
      <w:tr w:rsidR="006369C0" w:rsidRPr="004B070F" w14:paraId="573F8C7E" w14:textId="77777777" w:rsidTr="00A25691">
        <w:trPr>
          <w:jc w:val="center"/>
        </w:trPr>
        <w:tc>
          <w:tcPr>
            <w:tcW w:w="3415" w:type="dxa"/>
          </w:tcPr>
          <w:p w14:paraId="7CFD0B51" w14:textId="77777777" w:rsidR="006369C0" w:rsidRPr="004B070F" w:rsidRDefault="006369C0">
            <w:pPr>
              <w:rPr>
                <w:rFonts w:cs="Times New Roman"/>
              </w:rPr>
            </w:pPr>
            <w:r>
              <w:rPr>
                <w:rFonts w:cs="Times New Roman"/>
              </w:rPr>
              <w:t>Principal Investigator</w:t>
            </w:r>
          </w:p>
        </w:tc>
        <w:tc>
          <w:tcPr>
            <w:tcW w:w="6660" w:type="dxa"/>
          </w:tcPr>
          <w:p w14:paraId="12A8227B" w14:textId="77777777" w:rsidR="00BB2473" w:rsidRPr="00A5155B" w:rsidRDefault="0099166A" w:rsidP="00353193">
            <w:pPr>
              <w:rPr>
                <w:rFonts w:cs="Times New Roman"/>
                <w:noProof/>
                <w:szCs w:val="24"/>
              </w:rPr>
            </w:pPr>
            <w:r w:rsidRPr="0099166A">
              <w:rPr>
                <w:rFonts w:cs="Times New Roman"/>
                <w:noProof/>
                <w:szCs w:val="24"/>
              </w:rPr>
              <w:t>Chris Pantelides, Ph.D.</w:t>
            </w:r>
          </w:p>
        </w:tc>
      </w:tr>
      <w:tr w:rsidR="006369C0" w:rsidRPr="004B070F" w14:paraId="18856C56" w14:textId="77777777" w:rsidTr="00A25691">
        <w:trPr>
          <w:jc w:val="center"/>
        </w:trPr>
        <w:tc>
          <w:tcPr>
            <w:tcW w:w="3415" w:type="dxa"/>
          </w:tcPr>
          <w:p w14:paraId="3BFDA660" w14:textId="77777777" w:rsidR="006369C0" w:rsidRPr="004B070F" w:rsidRDefault="006369C0">
            <w:pPr>
              <w:rPr>
                <w:rFonts w:cs="Times New Roman"/>
              </w:rPr>
            </w:pPr>
            <w:r>
              <w:rPr>
                <w:rFonts w:cs="Times New Roman"/>
              </w:rPr>
              <w:t>PI Contact Information</w:t>
            </w:r>
          </w:p>
        </w:tc>
        <w:tc>
          <w:tcPr>
            <w:tcW w:w="6660" w:type="dxa"/>
          </w:tcPr>
          <w:p w14:paraId="3431FC9B" w14:textId="03D165DD" w:rsidR="0099166A" w:rsidRPr="0099166A" w:rsidRDefault="001019BE" w:rsidP="0099166A">
            <w:pPr>
              <w:rPr>
                <w:rFonts w:cs="Times New Roman"/>
                <w:noProof/>
                <w:szCs w:val="24"/>
              </w:rPr>
            </w:pPr>
            <w:r>
              <w:rPr>
                <w:rFonts w:cs="Times New Roman"/>
                <w:noProof/>
                <w:szCs w:val="24"/>
              </w:rPr>
              <w:t>P</w:t>
            </w:r>
            <w:r w:rsidR="0099166A" w:rsidRPr="0099166A">
              <w:rPr>
                <w:rFonts w:cs="Times New Roman"/>
                <w:noProof/>
                <w:szCs w:val="24"/>
              </w:rPr>
              <w:t>rofessor</w:t>
            </w:r>
          </w:p>
          <w:p w14:paraId="7CB4919C" w14:textId="77777777" w:rsidR="0099166A" w:rsidRPr="0099166A" w:rsidRDefault="0099166A" w:rsidP="0099166A">
            <w:pPr>
              <w:rPr>
                <w:rFonts w:cs="Times New Roman"/>
                <w:noProof/>
                <w:szCs w:val="24"/>
              </w:rPr>
            </w:pPr>
            <w:r w:rsidRPr="0099166A">
              <w:rPr>
                <w:rFonts w:cs="Times New Roman"/>
                <w:noProof/>
                <w:szCs w:val="24"/>
              </w:rPr>
              <w:t>Dept. of Civil and Environmental Engineering</w:t>
            </w:r>
          </w:p>
          <w:p w14:paraId="3642FC91" w14:textId="77777777" w:rsidR="0099166A" w:rsidRPr="0099166A" w:rsidRDefault="0099166A" w:rsidP="0099166A">
            <w:pPr>
              <w:rPr>
                <w:rFonts w:cs="Times New Roman"/>
                <w:noProof/>
                <w:szCs w:val="24"/>
              </w:rPr>
            </w:pPr>
            <w:r w:rsidRPr="0099166A">
              <w:rPr>
                <w:rFonts w:cs="Times New Roman"/>
                <w:noProof/>
                <w:szCs w:val="24"/>
              </w:rPr>
              <w:t>University of Utah</w:t>
            </w:r>
          </w:p>
          <w:p w14:paraId="42E019EC" w14:textId="77777777" w:rsidR="0099166A" w:rsidRPr="0099166A" w:rsidRDefault="0099166A" w:rsidP="0099166A">
            <w:pPr>
              <w:rPr>
                <w:rFonts w:cs="Times New Roman"/>
                <w:noProof/>
                <w:szCs w:val="24"/>
              </w:rPr>
            </w:pPr>
            <w:r w:rsidRPr="0099166A">
              <w:rPr>
                <w:rFonts w:cs="Times New Roman"/>
                <w:noProof/>
                <w:szCs w:val="24"/>
              </w:rPr>
              <w:t>Phone: (801) 585-3991</w:t>
            </w:r>
          </w:p>
          <w:p w14:paraId="2A4F4502" w14:textId="77777777" w:rsidR="0099166A" w:rsidRPr="0099166A" w:rsidRDefault="0099166A" w:rsidP="0099166A">
            <w:pPr>
              <w:rPr>
                <w:rFonts w:cs="Times New Roman"/>
                <w:noProof/>
                <w:szCs w:val="24"/>
              </w:rPr>
            </w:pPr>
            <w:r w:rsidRPr="0099166A">
              <w:rPr>
                <w:rFonts w:cs="Times New Roman"/>
                <w:noProof/>
                <w:szCs w:val="24"/>
              </w:rPr>
              <w:t>Email: c.pantelides@utah.edu</w:t>
            </w:r>
          </w:p>
          <w:p w14:paraId="3E172223" w14:textId="77777777" w:rsidR="006369C0" w:rsidRDefault="0099166A" w:rsidP="0099166A">
            <w:pPr>
              <w:rPr>
                <w:rFonts w:cs="Times New Roman"/>
                <w:noProof/>
                <w:szCs w:val="24"/>
              </w:rPr>
            </w:pPr>
            <w:r w:rsidRPr="0099166A">
              <w:rPr>
                <w:rFonts w:cs="Times New Roman"/>
                <w:noProof/>
                <w:szCs w:val="24"/>
              </w:rPr>
              <w:t>ORCID: 0000-0003-3309-3488</w:t>
            </w:r>
          </w:p>
        </w:tc>
      </w:tr>
      <w:tr w:rsidR="006369C0" w:rsidRPr="004B070F" w14:paraId="3A275471" w14:textId="77777777" w:rsidTr="00A25691">
        <w:trPr>
          <w:jc w:val="center"/>
        </w:trPr>
        <w:tc>
          <w:tcPr>
            <w:tcW w:w="3415" w:type="dxa"/>
          </w:tcPr>
          <w:p w14:paraId="5199EDFE"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194BFF72"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1393678C" w14:textId="77777777" w:rsidR="006369C0" w:rsidRDefault="00F44E21">
            <w:pPr>
              <w:rPr>
                <w:rFonts w:cs="Times New Roman"/>
              </w:rPr>
            </w:pPr>
            <w:r w:rsidRPr="00F44E21">
              <w:rPr>
                <w:rFonts w:cs="Times New Roman"/>
              </w:rPr>
              <w:t>$</w:t>
            </w:r>
            <w:r w:rsidR="00F24291">
              <w:rPr>
                <w:rFonts w:cs="Times New Roman"/>
              </w:rPr>
              <w:t>59</w:t>
            </w:r>
            <w:r w:rsidR="00165D8D">
              <w:rPr>
                <w:rFonts w:cs="Times New Roman"/>
              </w:rPr>
              <w:t>,</w:t>
            </w:r>
            <w:r w:rsidR="00F24291">
              <w:rPr>
                <w:rFonts w:cs="Times New Roman"/>
              </w:rPr>
              <w:t>857</w:t>
            </w:r>
          </w:p>
          <w:p w14:paraId="18F82301" w14:textId="77777777" w:rsidR="006369C0" w:rsidRDefault="006369C0">
            <w:pPr>
              <w:rPr>
                <w:rFonts w:cs="Times New Roman"/>
              </w:rPr>
            </w:pPr>
          </w:p>
          <w:p w14:paraId="7DA612B7" w14:textId="77777777" w:rsidR="00731D4C" w:rsidRDefault="001261D0" w:rsidP="001261D0">
            <w:pPr>
              <w:tabs>
                <w:tab w:val="left" w:pos="3217"/>
                <w:tab w:val="right" w:pos="4027"/>
              </w:tabs>
              <w:rPr>
                <w:rFonts w:cs="Times New Roman"/>
              </w:rPr>
            </w:pPr>
            <w:r w:rsidRPr="001261D0">
              <w:rPr>
                <w:rFonts w:cs="Times New Roman"/>
              </w:rPr>
              <w:t>University of Utah</w:t>
            </w:r>
          </w:p>
          <w:p w14:paraId="0263993C" w14:textId="0E12ADE6" w:rsidR="001261D0" w:rsidRPr="001261D0" w:rsidRDefault="001261D0" w:rsidP="00731D4C">
            <w:pPr>
              <w:tabs>
                <w:tab w:val="left" w:pos="3217"/>
                <w:tab w:val="right" w:pos="4027"/>
              </w:tabs>
              <w:spacing w:after="240"/>
              <w:rPr>
                <w:rFonts w:cs="Times New Roman"/>
              </w:rPr>
            </w:pPr>
            <w:r w:rsidRPr="001261D0">
              <w:rPr>
                <w:rFonts w:cs="Times New Roman"/>
              </w:rPr>
              <w:t>$46,200</w:t>
            </w:r>
          </w:p>
          <w:p w14:paraId="352E8956" w14:textId="77777777" w:rsidR="00731D4C" w:rsidRDefault="001261D0" w:rsidP="001261D0">
            <w:pPr>
              <w:tabs>
                <w:tab w:val="left" w:pos="3217"/>
                <w:tab w:val="right" w:pos="4027"/>
              </w:tabs>
              <w:rPr>
                <w:rFonts w:cs="Times New Roman"/>
              </w:rPr>
            </w:pPr>
            <w:proofErr w:type="spellStart"/>
            <w:r w:rsidRPr="001261D0">
              <w:rPr>
                <w:rFonts w:cs="Times New Roman"/>
              </w:rPr>
              <w:t>Reaveley</w:t>
            </w:r>
            <w:proofErr w:type="spellEnd"/>
            <w:r w:rsidRPr="001261D0">
              <w:rPr>
                <w:rFonts w:cs="Times New Roman"/>
              </w:rPr>
              <w:t xml:space="preserve"> Engineers</w:t>
            </w:r>
          </w:p>
          <w:p w14:paraId="41FA4B4B" w14:textId="369CB73E" w:rsidR="00F44E21" w:rsidRPr="004B070F" w:rsidRDefault="001261D0" w:rsidP="001261D0">
            <w:pPr>
              <w:tabs>
                <w:tab w:val="left" w:pos="3217"/>
                <w:tab w:val="right" w:pos="4027"/>
              </w:tabs>
              <w:rPr>
                <w:rFonts w:cs="Times New Roman"/>
              </w:rPr>
            </w:pPr>
            <w:r w:rsidRPr="001261D0">
              <w:rPr>
                <w:rFonts w:cs="Times New Roman"/>
              </w:rPr>
              <w:t>$11,800</w:t>
            </w:r>
          </w:p>
        </w:tc>
      </w:tr>
      <w:tr w:rsidR="006369C0" w:rsidRPr="004B070F" w14:paraId="26373201" w14:textId="77777777" w:rsidTr="00A25691">
        <w:trPr>
          <w:jc w:val="center"/>
        </w:trPr>
        <w:tc>
          <w:tcPr>
            <w:tcW w:w="3415" w:type="dxa"/>
          </w:tcPr>
          <w:p w14:paraId="11DF3584"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B14C0DA" w14:textId="77777777" w:rsidR="006369C0" w:rsidRDefault="00F829B1" w:rsidP="004A4FFD">
            <w:pPr>
              <w:rPr>
                <w:rFonts w:cs="Times New Roman"/>
              </w:rPr>
            </w:pPr>
            <w:r>
              <w:rPr>
                <w:rFonts w:cs="Times New Roman"/>
              </w:rPr>
              <w:t>$</w:t>
            </w:r>
            <w:r w:rsidR="004A4FFD">
              <w:rPr>
                <w:rFonts w:cs="Times New Roman"/>
              </w:rPr>
              <w:t>117</w:t>
            </w:r>
            <w:r w:rsidR="004A4163">
              <w:rPr>
                <w:rFonts w:cs="Times New Roman"/>
              </w:rPr>
              <w:t>,</w:t>
            </w:r>
            <w:r w:rsidR="004A4FFD">
              <w:rPr>
                <w:rFonts w:cs="Times New Roman"/>
              </w:rPr>
              <w:t>857</w:t>
            </w:r>
          </w:p>
        </w:tc>
      </w:tr>
      <w:tr w:rsidR="006369C0" w:rsidRPr="004B070F" w14:paraId="4FE40946" w14:textId="77777777" w:rsidTr="00A25691">
        <w:trPr>
          <w:jc w:val="center"/>
        </w:trPr>
        <w:tc>
          <w:tcPr>
            <w:tcW w:w="3415" w:type="dxa"/>
          </w:tcPr>
          <w:p w14:paraId="2E861CCB"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6A0B55B6" w14:textId="77777777" w:rsidR="006369C0" w:rsidRPr="004B070F" w:rsidRDefault="006369C0">
            <w:pPr>
              <w:rPr>
                <w:rFonts w:cs="Times New Roman"/>
              </w:rPr>
            </w:pPr>
            <w:r w:rsidRPr="00432B0E">
              <w:rPr>
                <w:rFonts w:cs="Times New Roman"/>
                <w:noProof/>
              </w:rPr>
              <w:t>69A3551747108</w:t>
            </w:r>
          </w:p>
        </w:tc>
      </w:tr>
      <w:tr w:rsidR="006369C0" w:rsidRPr="004B070F" w14:paraId="3A666EE5" w14:textId="77777777" w:rsidTr="00A25691">
        <w:trPr>
          <w:jc w:val="center"/>
        </w:trPr>
        <w:tc>
          <w:tcPr>
            <w:tcW w:w="3415" w:type="dxa"/>
          </w:tcPr>
          <w:p w14:paraId="7A449A51" w14:textId="77777777" w:rsidR="006369C0" w:rsidRPr="004B070F" w:rsidRDefault="006369C0" w:rsidP="00947EC7">
            <w:pPr>
              <w:rPr>
                <w:rFonts w:cs="Times New Roman"/>
              </w:rPr>
            </w:pPr>
            <w:r>
              <w:rPr>
                <w:rFonts w:cs="Times New Roman"/>
              </w:rPr>
              <w:t>Start and End Dates</w:t>
            </w:r>
          </w:p>
        </w:tc>
        <w:tc>
          <w:tcPr>
            <w:tcW w:w="6660" w:type="dxa"/>
          </w:tcPr>
          <w:p w14:paraId="34E1181A" w14:textId="4C7A45A8" w:rsidR="006369C0" w:rsidRPr="004B070F" w:rsidRDefault="00615B2B" w:rsidP="008C24EE">
            <w:pPr>
              <w:rPr>
                <w:rFonts w:cs="Times New Roman"/>
                <w:highlight w:val="yellow"/>
              </w:rPr>
            </w:pPr>
            <w:r>
              <w:rPr>
                <w:rFonts w:cs="Times New Roman"/>
                <w:noProof/>
              </w:rPr>
              <w:t>October</w:t>
            </w:r>
            <w:r w:rsidR="006369C0" w:rsidRPr="00432B0E">
              <w:rPr>
                <w:rFonts w:cs="Times New Roman"/>
                <w:noProof/>
              </w:rPr>
              <w:t xml:space="preserve"> </w:t>
            </w:r>
            <w:r w:rsidR="00D62C64">
              <w:rPr>
                <w:rFonts w:cs="Times New Roman"/>
                <w:noProof/>
              </w:rPr>
              <w:t>30</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731D4C">
              <w:rPr>
                <w:rFonts w:cs="Times New Roman"/>
                <w:noProof/>
              </w:rPr>
              <w:t>3</w:t>
            </w:r>
          </w:p>
        </w:tc>
      </w:tr>
      <w:tr w:rsidR="006369C0" w:rsidRPr="004B070F" w14:paraId="53268151" w14:textId="77777777" w:rsidTr="00A25691">
        <w:trPr>
          <w:jc w:val="center"/>
        </w:trPr>
        <w:tc>
          <w:tcPr>
            <w:tcW w:w="3415" w:type="dxa"/>
          </w:tcPr>
          <w:p w14:paraId="06B90BAE"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401C671" w14:textId="77777777" w:rsidR="006369C0" w:rsidRPr="004B7858" w:rsidRDefault="00C8726F" w:rsidP="0066320A">
            <w:pPr>
              <w:rPr>
                <w:rFonts w:cs="Times New Roman"/>
                <w:noProof/>
                <w:szCs w:val="24"/>
              </w:rPr>
            </w:pPr>
            <w:r w:rsidRPr="00C8726F">
              <w:rPr>
                <w:rFonts w:cs="Times New Roman"/>
                <w:noProof/>
                <w:szCs w:val="24"/>
              </w:rPr>
              <w:t>Accelerated Bridge Construction (ABC) has been implemented in bridge construction because it provides advantages for commuters in urban areas. Prefabrication of bridge structural components is a highly effective method and is one of the ABC methods of Prefabricated Bridge Elements and Systems (PBES) proposed by the Federal Highway Administration. There is a need to develop ABC column-to-footing joints for bridges located in moderate- and high-seismic regions. Robust analysis and design methods for such joints are an important component of this effort. Grouted splice sleeve connectors are assumed for assembling the column-to-footing joints. In the proposed research, where the bars are grouted at both ends of the splice sleeve connectors (GGSS). This research aims to understand the effect of recessing the GGSS inside the footing well below the column-to-footing interface. The gap between the end of the GGSS and the column-to-footing interface is assumed to be grouted inside corrugated steel ducts. The main goal of the research is to show using advanced analysis methods that such joints constructed with precast elements perform in a satisfactory manner similar to monolithic cast-in-place (CIP) joints. A second goal of the research is to develop guidelines for the seismic design of these joints.</w:t>
            </w:r>
          </w:p>
        </w:tc>
      </w:tr>
      <w:tr w:rsidR="006369C0" w:rsidRPr="004B070F" w14:paraId="43DDD7FA" w14:textId="77777777" w:rsidTr="00A25691">
        <w:trPr>
          <w:trHeight w:val="1034"/>
          <w:jc w:val="center"/>
        </w:trPr>
        <w:tc>
          <w:tcPr>
            <w:tcW w:w="3415" w:type="dxa"/>
          </w:tcPr>
          <w:p w14:paraId="073BD6F9" w14:textId="77777777" w:rsidR="006369C0" w:rsidRPr="004B070F" w:rsidRDefault="006369C0">
            <w:pPr>
              <w:rPr>
                <w:rFonts w:cs="Times New Roman"/>
              </w:rPr>
            </w:pPr>
            <w:r w:rsidRPr="004B070F">
              <w:rPr>
                <w:rFonts w:cs="Times New Roman"/>
              </w:rPr>
              <w:lastRenderedPageBreak/>
              <w:t>Describe Implementation of Research Outcomes (or why not implemented)</w:t>
            </w:r>
          </w:p>
          <w:p w14:paraId="1DB2BA11" w14:textId="77777777" w:rsidR="006369C0" w:rsidRPr="004B070F" w:rsidRDefault="006369C0">
            <w:pPr>
              <w:rPr>
                <w:rFonts w:cs="Times New Roman"/>
              </w:rPr>
            </w:pPr>
          </w:p>
          <w:p w14:paraId="6C98ED13" w14:textId="77777777" w:rsidR="006369C0" w:rsidRPr="004B070F" w:rsidRDefault="006369C0">
            <w:pPr>
              <w:rPr>
                <w:rFonts w:cs="Times New Roman"/>
              </w:rPr>
            </w:pPr>
            <w:r w:rsidRPr="004B070F">
              <w:rPr>
                <w:rFonts w:cs="Times New Roman"/>
              </w:rPr>
              <w:t>Place Any Photos Here</w:t>
            </w:r>
          </w:p>
        </w:tc>
        <w:tc>
          <w:tcPr>
            <w:tcW w:w="6660" w:type="dxa"/>
          </w:tcPr>
          <w:p w14:paraId="41CBD602" w14:textId="691FAA22" w:rsidR="006369C0" w:rsidRPr="004B070F" w:rsidRDefault="00CB22CC" w:rsidP="00AB062C">
            <w:r w:rsidRPr="00CB22CC">
              <w:t>The research results have just been published and implementation is expected to take some time to occur.</w:t>
            </w:r>
          </w:p>
        </w:tc>
      </w:tr>
      <w:tr w:rsidR="006369C0" w:rsidRPr="004B070F" w14:paraId="6884EA15" w14:textId="77777777" w:rsidTr="00A25691">
        <w:trPr>
          <w:trHeight w:val="395"/>
          <w:jc w:val="center"/>
        </w:trPr>
        <w:tc>
          <w:tcPr>
            <w:tcW w:w="3415" w:type="dxa"/>
          </w:tcPr>
          <w:p w14:paraId="30B37613" w14:textId="77777777" w:rsidR="006369C0" w:rsidRPr="004B070F" w:rsidRDefault="006369C0">
            <w:pPr>
              <w:rPr>
                <w:rFonts w:cs="Times New Roman"/>
              </w:rPr>
            </w:pPr>
            <w:r w:rsidRPr="004B070F">
              <w:rPr>
                <w:rFonts w:cs="Times New Roman"/>
              </w:rPr>
              <w:t>Impacts/Benefits of Implementation</w:t>
            </w:r>
          </w:p>
          <w:p w14:paraId="6FC59216" w14:textId="77777777" w:rsidR="006369C0" w:rsidRPr="004B070F" w:rsidRDefault="006369C0">
            <w:pPr>
              <w:rPr>
                <w:rFonts w:cs="Times New Roman"/>
              </w:rPr>
            </w:pPr>
            <w:r>
              <w:rPr>
                <w:rFonts w:cs="Times New Roman"/>
              </w:rPr>
              <w:t>(actual, not anticipated)</w:t>
            </w:r>
          </w:p>
        </w:tc>
        <w:tc>
          <w:tcPr>
            <w:tcW w:w="6660" w:type="dxa"/>
          </w:tcPr>
          <w:p w14:paraId="0982585F" w14:textId="1C528C7D" w:rsidR="006369C0" w:rsidRPr="004B070F" w:rsidRDefault="00CB22CC" w:rsidP="00AB062C">
            <w:pPr>
              <w:rPr>
                <w:rFonts w:cs="Times New Roman"/>
              </w:rPr>
            </w:pPr>
            <w:r w:rsidRPr="00CB22CC">
              <w:rPr>
                <w:rFonts w:cs="Times New Roman"/>
              </w:rPr>
              <w:t>The research is expected to facilitate the use of recessed connections with intentional debonding such as the one studied in this research for bridge bents constructed in seismic regions using accelerated bridge construction.</w:t>
            </w:r>
          </w:p>
        </w:tc>
      </w:tr>
      <w:tr w:rsidR="006369C0" w:rsidRPr="004B070F" w14:paraId="10E9D79C" w14:textId="77777777" w:rsidTr="00A25691">
        <w:trPr>
          <w:jc w:val="center"/>
        </w:trPr>
        <w:tc>
          <w:tcPr>
            <w:tcW w:w="3415" w:type="dxa"/>
          </w:tcPr>
          <w:p w14:paraId="4E1522F6" w14:textId="77777777" w:rsidR="006369C0" w:rsidRPr="004B070F" w:rsidRDefault="006369C0">
            <w:pPr>
              <w:rPr>
                <w:rFonts w:cs="Times New Roman"/>
              </w:rPr>
            </w:pPr>
            <w:r w:rsidRPr="004B070F">
              <w:rPr>
                <w:rFonts w:cs="Times New Roman"/>
              </w:rPr>
              <w:t>Web Links</w:t>
            </w:r>
          </w:p>
          <w:p w14:paraId="1BEB1076"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3E33139"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5DE40D94" w14:textId="719A8325" w:rsidR="006369C0" w:rsidRPr="00857796" w:rsidRDefault="00857796" w:rsidP="00307450">
            <w:pPr>
              <w:pStyle w:val="ListParagraph"/>
              <w:numPr>
                <w:ilvl w:val="0"/>
                <w:numId w:val="2"/>
              </w:numPr>
              <w:spacing w:after="120"/>
              <w:ind w:left="432"/>
              <w:contextualSpacing w:val="0"/>
              <w:rPr>
                <w:rFonts w:cs="Times New Roman"/>
              </w:rPr>
            </w:pPr>
            <w:r>
              <w:rPr>
                <w:rFonts w:cs="Times New Roman"/>
              </w:rPr>
              <w:t xml:space="preserve">MPC Research Report – </w:t>
            </w:r>
            <w:hyperlink r:id="rId6" w:history="1">
              <w:r w:rsidR="00BD13E0" w:rsidRPr="00BD13E0">
                <w:rPr>
                  <w:rStyle w:val="Hyperlink"/>
                  <w:rFonts w:cs="Times New Roman"/>
                </w:rPr>
                <w:t>Analysis of ABC Bridge Column-to-Footing Joints with Recessed Splice Sleeve Connectors</w:t>
              </w:r>
            </w:hyperlink>
          </w:p>
        </w:tc>
      </w:tr>
    </w:tbl>
    <w:p w14:paraId="76014446"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4B1A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426869">
    <w:abstractNumId w:val="3"/>
  </w:num>
  <w:num w:numId="2" w16cid:durableId="2115204274">
    <w:abstractNumId w:val="1"/>
  </w:num>
  <w:num w:numId="3" w16cid:durableId="427310789">
    <w:abstractNumId w:val="4"/>
  </w:num>
  <w:num w:numId="4" w16cid:durableId="150678479">
    <w:abstractNumId w:val="2"/>
  </w:num>
  <w:num w:numId="5" w16cid:durableId="711927990">
    <w:abstractNumId w:val="0"/>
  </w:num>
  <w:num w:numId="6" w16cid:durableId="1913006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019BE"/>
    <w:rsid w:val="0010425C"/>
    <w:rsid w:val="0011278E"/>
    <w:rsid w:val="00113422"/>
    <w:rsid w:val="00124459"/>
    <w:rsid w:val="001261D0"/>
    <w:rsid w:val="00130702"/>
    <w:rsid w:val="00131A23"/>
    <w:rsid w:val="00135006"/>
    <w:rsid w:val="00135512"/>
    <w:rsid w:val="00137A6B"/>
    <w:rsid w:val="00141F21"/>
    <w:rsid w:val="00144705"/>
    <w:rsid w:val="00153D98"/>
    <w:rsid w:val="0015530F"/>
    <w:rsid w:val="00155AA0"/>
    <w:rsid w:val="00156068"/>
    <w:rsid w:val="001566D6"/>
    <w:rsid w:val="00161111"/>
    <w:rsid w:val="001612F5"/>
    <w:rsid w:val="00165D8D"/>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5E1D"/>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07450"/>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4FFD"/>
    <w:rsid w:val="004A5A38"/>
    <w:rsid w:val="004B070F"/>
    <w:rsid w:val="004B256D"/>
    <w:rsid w:val="004B684F"/>
    <w:rsid w:val="004B7858"/>
    <w:rsid w:val="004B79A5"/>
    <w:rsid w:val="004C064D"/>
    <w:rsid w:val="004C2A16"/>
    <w:rsid w:val="004C50F6"/>
    <w:rsid w:val="004D0566"/>
    <w:rsid w:val="004D13A5"/>
    <w:rsid w:val="004D2D48"/>
    <w:rsid w:val="004E13DC"/>
    <w:rsid w:val="004E2473"/>
    <w:rsid w:val="004F1053"/>
    <w:rsid w:val="00503958"/>
    <w:rsid w:val="005101E5"/>
    <w:rsid w:val="005103AC"/>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6320A"/>
    <w:rsid w:val="006740CA"/>
    <w:rsid w:val="006770E3"/>
    <w:rsid w:val="006919D5"/>
    <w:rsid w:val="00692D86"/>
    <w:rsid w:val="006A0EE1"/>
    <w:rsid w:val="006A1310"/>
    <w:rsid w:val="006A6A0C"/>
    <w:rsid w:val="006A73D4"/>
    <w:rsid w:val="006B398F"/>
    <w:rsid w:val="006B5186"/>
    <w:rsid w:val="006C5A77"/>
    <w:rsid w:val="006D0A5E"/>
    <w:rsid w:val="006E2454"/>
    <w:rsid w:val="006E31D1"/>
    <w:rsid w:val="006E7362"/>
    <w:rsid w:val="006F1156"/>
    <w:rsid w:val="006F2A4C"/>
    <w:rsid w:val="006F6291"/>
    <w:rsid w:val="0070763B"/>
    <w:rsid w:val="0071185B"/>
    <w:rsid w:val="0071408E"/>
    <w:rsid w:val="00720E9C"/>
    <w:rsid w:val="007215E4"/>
    <w:rsid w:val="007247F1"/>
    <w:rsid w:val="00725E11"/>
    <w:rsid w:val="00731D4C"/>
    <w:rsid w:val="0073654F"/>
    <w:rsid w:val="007379F7"/>
    <w:rsid w:val="00744373"/>
    <w:rsid w:val="00746F9F"/>
    <w:rsid w:val="00751408"/>
    <w:rsid w:val="007560AF"/>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1561"/>
    <w:rsid w:val="007C24D2"/>
    <w:rsid w:val="007C2BA0"/>
    <w:rsid w:val="007C4B35"/>
    <w:rsid w:val="007C4E20"/>
    <w:rsid w:val="007C5540"/>
    <w:rsid w:val="007C6A8C"/>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633"/>
    <w:rsid w:val="008557A8"/>
    <w:rsid w:val="00855891"/>
    <w:rsid w:val="00857796"/>
    <w:rsid w:val="00863038"/>
    <w:rsid w:val="008733FB"/>
    <w:rsid w:val="00877127"/>
    <w:rsid w:val="008A0AFB"/>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7C96"/>
    <w:rsid w:val="00920002"/>
    <w:rsid w:val="00925D40"/>
    <w:rsid w:val="009276B3"/>
    <w:rsid w:val="00927A42"/>
    <w:rsid w:val="00930A1B"/>
    <w:rsid w:val="00931512"/>
    <w:rsid w:val="009411DA"/>
    <w:rsid w:val="009412AE"/>
    <w:rsid w:val="00946F41"/>
    <w:rsid w:val="009473E6"/>
    <w:rsid w:val="00947EC7"/>
    <w:rsid w:val="009504EC"/>
    <w:rsid w:val="009528F6"/>
    <w:rsid w:val="0096505F"/>
    <w:rsid w:val="00965801"/>
    <w:rsid w:val="00965963"/>
    <w:rsid w:val="009701DE"/>
    <w:rsid w:val="00972040"/>
    <w:rsid w:val="00976CEB"/>
    <w:rsid w:val="009771C9"/>
    <w:rsid w:val="00982FF9"/>
    <w:rsid w:val="0098520A"/>
    <w:rsid w:val="00986F88"/>
    <w:rsid w:val="00991563"/>
    <w:rsid w:val="0099166A"/>
    <w:rsid w:val="009A4724"/>
    <w:rsid w:val="009B03F3"/>
    <w:rsid w:val="009B1A05"/>
    <w:rsid w:val="009B37D0"/>
    <w:rsid w:val="009B4250"/>
    <w:rsid w:val="009B6455"/>
    <w:rsid w:val="009C3AF3"/>
    <w:rsid w:val="009D1318"/>
    <w:rsid w:val="009D61B8"/>
    <w:rsid w:val="009D71A7"/>
    <w:rsid w:val="009E32AE"/>
    <w:rsid w:val="009E60A5"/>
    <w:rsid w:val="009E65CC"/>
    <w:rsid w:val="009F247B"/>
    <w:rsid w:val="009F2B46"/>
    <w:rsid w:val="009F682D"/>
    <w:rsid w:val="00A015A3"/>
    <w:rsid w:val="00A05E7E"/>
    <w:rsid w:val="00A06B49"/>
    <w:rsid w:val="00A07053"/>
    <w:rsid w:val="00A1029D"/>
    <w:rsid w:val="00A215E1"/>
    <w:rsid w:val="00A22E07"/>
    <w:rsid w:val="00A25691"/>
    <w:rsid w:val="00A26429"/>
    <w:rsid w:val="00A326E7"/>
    <w:rsid w:val="00A35353"/>
    <w:rsid w:val="00A42DF6"/>
    <w:rsid w:val="00A4418A"/>
    <w:rsid w:val="00A451A2"/>
    <w:rsid w:val="00A46100"/>
    <w:rsid w:val="00A47880"/>
    <w:rsid w:val="00A5155B"/>
    <w:rsid w:val="00A52709"/>
    <w:rsid w:val="00A61223"/>
    <w:rsid w:val="00A61B30"/>
    <w:rsid w:val="00A623BD"/>
    <w:rsid w:val="00A67CF1"/>
    <w:rsid w:val="00A7297B"/>
    <w:rsid w:val="00A852B0"/>
    <w:rsid w:val="00A91F09"/>
    <w:rsid w:val="00A96BF2"/>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B2473"/>
    <w:rsid w:val="00BC23E8"/>
    <w:rsid w:val="00BC4E0F"/>
    <w:rsid w:val="00BD13E0"/>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8726F"/>
    <w:rsid w:val="00C93D8B"/>
    <w:rsid w:val="00C9711F"/>
    <w:rsid w:val="00C971CF"/>
    <w:rsid w:val="00CA2CF5"/>
    <w:rsid w:val="00CB22CC"/>
    <w:rsid w:val="00CB31DB"/>
    <w:rsid w:val="00CB439F"/>
    <w:rsid w:val="00CB4A51"/>
    <w:rsid w:val="00CC186A"/>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2C64"/>
    <w:rsid w:val="00D64013"/>
    <w:rsid w:val="00D657ED"/>
    <w:rsid w:val="00D74215"/>
    <w:rsid w:val="00D75C0E"/>
    <w:rsid w:val="00D76096"/>
    <w:rsid w:val="00D95BC3"/>
    <w:rsid w:val="00DA3693"/>
    <w:rsid w:val="00DA713E"/>
    <w:rsid w:val="00DB4ECC"/>
    <w:rsid w:val="00DB767A"/>
    <w:rsid w:val="00DC1428"/>
    <w:rsid w:val="00DC234C"/>
    <w:rsid w:val="00DC6752"/>
    <w:rsid w:val="00DD3A2A"/>
    <w:rsid w:val="00DD61DD"/>
    <w:rsid w:val="00DD6A32"/>
    <w:rsid w:val="00DE01BA"/>
    <w:rsid w:val="00DE700B"/>
    <w:rsid w:val="00DE7E9D"/>
    <w:rsid w:val="00DF3B4C"/>
    <w:rsid w:val="00DF4B34"/>
    <w:rsid w:val="00E0241D"/>
    <w:rsid w:val="00E15B0C"/>
    <w:rsid w:val="00E21FBA"/>
    <w:rsid w:val="00E22AC0"/>
    <w:rsid w:val="00E25AD7"/>
    <w:rsid w:val="00E265D8"/>
    <w:rsid w:val="00E2770B"/>
    <w:rsid w:val="00E35EC4"/>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174F8"/>
    <w:rsid w:val="00F20199"/>
    <w:rsid w:val="00F202B8"/>
    <w:rsid w:val="00F20A33"/>
    <w:rsid w:val="00F20FA0"/>
    <w:rsid w:val="00F23ED6"/>
    <w:rsid w:val="00F24291"/>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44E1"/>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61"/>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D1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6C10-7D6A-4406-9C6A-5EEB86DC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Analysis of ABC Bridge Column-to-Footing Joints with Recessed Splice Sleeve Connectors</vt:lpstr>
    </vt:vector>
  </TitlesOfParts>
  <Company>DOT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Analysis of ABC Bridge Column-to-Footing Joints with Recessed Splice Sleeve Connectors</dc:title>
  <dc:creator/>
  <cp:lastModifiedBy>Nichols, Patrick</cp:lastModifiedBy>
  <cp:revision>415</cp:revision>
  <cp:lastPrinted>2023-01-24T19:13:00Z</cp:lastPrinted>
  <dcterms:created xsi:type="dcterms:W3CDTF">2019-01-17T15:14:00Z</dcterms:created>
  <dcterms:modified xsi:type="dcterms:W3CDTF">2023-01-24T19:13:00Z</dcterms:modified>
</cp:coreProperties>
</file>