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Caption w:val="UTC Project Information"/>
      </w:tblPr>
      <w:tblGrid>
        <w:gridCol w:w="3415"/>
        <w:gridCol w:w="6660"/>
      </w:tblGrid>
      <w:tr w:rsidR="008A24E4" w:rsidRPr="004B070F" w14:paraId="597ED32A" w14:textId="77777777" w:rsidTr="00E57CA6">
        <w:trPr>
          <w:jc w:val="center"/>
        </w:trPr>
        <w:tc>
          <w:tcPr>
            <w:tcW w:w="10075" w:type="dxa"/>
            <w:gridSpan w:val="2"/>
          </w:tcPr>
          <w:p w14:paraId="1E485F5A" w14:textId="77777777" w:rsidR="008A24E4" w:rsidRPr="008A24E4" w:rsidRDefault="008A24E4" w:rsidP="00945FE1">
            <w:pPr>
              <w:rPr>
                <w:rFonts w:ascii="Times New Roman" w:hAnsi="Times New Roman" w:cs="Times New Roman"/>
                <w:b/>
                <w:noProof/>
                <w:sz w:val="28"/>
                <w:szCs w:val="28"/>
              </w:rPr>
            </w:pPr>
            <w:r w:rsidRPr="008A24E4">
              <w:rPr>
                <w:rFonts w:ascii="Times New Roman" w:hAnsi="Times New Roman" w:cs="Times New Roman"/>
                <w:b/>
                <w:sz w:val="28"/>
                <w:szCs w:val="28"/>
              </w:rPr>
              <w:t>UTC Project Information</w:t>
            </w:r>
          </w:p>
        </w:tc>
      </w:tr>
      <w:tr w:rsidR="006369C0" w:rsidRPr="004B070F" w14:paraId="4F2EE20A" w14:textId="77777777" w:rsidTr="00E57CA6">
        <w:trPr>
          <w:jc w:val="center"/>
        </w:trPr>
        <w:tc>
          <w:tcPr>
            <w:tcW w:w="3415" w:type="dxa"/>
          </w:tcPr>
          <w:p w14:paraId="7177D96E" w14:textId="77777777" w:rsidR="006369C0" w:rsidRPr="004B070F" w:rsidRDefault="006369C0">
            <w:pPr>
              <w:rPr>
                <w:rFonts w:ascii="Times New Roman" w:hAnsi="Times New Roman" w:cs="Times New Roman"/>
              </w:rPr>
            </w:pPr>
            <w:r>
              <w:rPr>
                <w:rFonts w:ascii="Times New Roman" w:hAnsi="Times New Roman" w:cs="Times New Roman"/>
              </w:rPr>
              <w:t>Project Title</w:t>
            </w:r>
          </w:p>
        </w:tc>
        <w:tc>
          <w:tcPr>
            <w:tcW w:w="6660" w:type="dxa"/>
          </w:tcPr>
          <w:p w14:paraId="1DDD55BC" w14:textId="6A4D48EA" w:rsidR="006369C0" w:rsidRPr="004B7858" w:rsidRDefault="00244C18" w:rsidP="008A4F52">
            <w:pPr>
              <w:rPr>
                <w:rFonts w:ascii="Times New Roman" w:hAnsi="Times New Roman" w:cs="Times New Roman"/>
                <w:szCs w:val="24"/>
              </w:rPr>
            </w:pPr>
            <w:r>
              <w:rPr>
                <w:rFonts w:ascii="Times New Roman" w:hAnsi="Times New Roman" w:cs="Times New Roman"/>
                <w:noProof/>
                <w:szCs w:val="24"/>
              </w:rPr>
              <w:t>MPC-6</w:t>
            </w:r>
            <w:r w:rsidR="00A40649">
              <w:rPr>
                <w:rFonts w:ascii="Times New Roman" w:hAnsi="Times New Roman" w:cs="Times New Roman"/>
                <w:noProof/>
                <w:szCs w:val="24"/>
              </w:rPr>
              <w:t>5</w:t>
            </w:r>
            <w:r w:rsidR="00C93E4C">
              <w:rPr>
                <w:rFonts w:ascii="Times New Roman" w:hAnsi="Times New Roman" w:cs="Times New Roman"/>
                <w:noProof/>
                <w:szCs w:val="24"/>
              </w:rPr>
              <w:t>9</w:t>
            </w:r>
            <w:r w:rsidR="006369C0">
              <w:rPr>
                <w:rFonts w:ascii="Times New Roman" w:hAnsi="Times New Roman" w:cs="Times New Roman"/>
                <w:szCs w:val="24"/>
              </w:rPr>
              <w:t xml:space="preserve"> –</w:t>
            </w:r>
            <w:r w:rsidR="003E0DF5">
              <w:rPr>
                <w:rFonts w:ascii="Times New Roman" w:hAnsi="Times New Roman" w:cs="Times New Roman"/>
                <w:szCs w:val="24"/>
              </w:rPr>
              <w:t xml:space="preserve"> </w:t>
            </w:r>
            <w:r w:rsidR="00C93E4C" w:rsidRPr="00C93E4C">
              <w:rPr>
                <w:rFonts w:ascii="Times New Roman" w:hAnsi="Times New Roman" w:cs="Times New Roman"/>
                <w:szCs w:val="24"/>
              </w:rPr>
              <w:t>Equitable Deployment of Wireless Charging Lanes in Transportation Networks</w:t>
            </w:r>
          </w:p>
        </w:tc>
      </w:tr>
      <w:tr w:rsidR="006369C0" w:rsidRPr="004B070F" w14:paraId="1FC4E22F" w14:textId="77777777" w:rsidTr="00E57CA6">
        <w:trPr>
          <w:jc w:val="center"/>
        </w:trPr>
        <w:tc>
          <w:tcPr>
            <w:tcW w:w="3415" w:type="dxa"/>
          </w:tcPr>
          <w:p w14:paraId="54A2842E" w14:textId="77777777" w:rsidR="006369C0" w:rsidRPr="004B070F" w:rsidRDefault="006369C0">
            <w:pPr>
              <w:rPr>
                <w:rFonts w:ascii="Times New Roman" w:hAnsi="Times New Roman" w:cs="Times New Roman"/>
              </w:rPr>
            </w:pPr>
            <w:r>
              <w:rPr>
                <w:rFonts w:ascii="Times New Roman" w:hAnsi="Times New Roman" w:cs="Times New Roman"/>
              </w:rPr>
              <w:t>University</w:t>
            </w:r>
          </w:p>
        </w:tc>
        <w:tc>
          <w:tcPr>
            <w:tcW w:w="6660" w:type="dxa"/>
          </w:tcPr>
          <w:p w14:paraId="4C3EC97F" w14:textId="144CB98B" w:rsidR="006369C0" w:rsidRPr="004B7858" w:rsidRDefault="00C93E4C" w:rsidP="00A2584A">
            <w:pPr>
              <w:jc w:val="both"/>
              <w:rPr>
                <w:rFonts w:ascii="Times New Roman" w:eastAsia="Calibri" w:hAnsi="Times New Roman" w:cs="Times New Roman"/>
                <w:szCs w:val="24"/>
              </w:rPr>
            </w:pPr>
            <w:r>
              <w:rPr>
                <w:rFonts w:ascii="Times New Roman" w:eastAsia="Calibri" w:hAnsi="Times New Roman" w:cs="Times New Roman"/>
                <w:szCs w:val="24"/>
              </w:rPr>
              <w:t>Utah</w:t>
            </w:r>
            <w:r w:rsidR="00A2584A" w:rsidRPr="00A2584A">
              <w:rPr>
                <w:rFonts w:ascii="Times New Roman" w:eastAsia="Calibri" w:hAnsi="Times New Roman" w:cs="Times New Roman"/>
                <w:szCs w:val="24"/>
              </w:rPr>
              <w:t xml:space="preserve"> State University</w:t>
            </w:r>
          </w:p>
        </w:tc>
      </w:tr>
      <w:tr w:rsidR="006369C0" w:rsidRPr="004B070F" w14:paraId="6D0D9F2E" w14:textId="77777777" w:rsidTr="00E57CA6">
        <w:trPr>
          <w:jc w:val="center"/>
        </w:trPr>
        <w:tc>
          <w:tcPr>
            <w:tcW w:w="3415" w:type="dxa"/>
          </w:tcPr>
          <w:p w14:paraId="5F25DEC4" w14:textId="77777777"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660" w:type="dxa"/>
          </w:tcPr>
          <w:p w14:paraId="0E730182" w14:textId="783A6CE8" w:rsidR="00136A54" w:rsidRPr="00A5155B" w:rsidRDefault="00C93E4C" w:rsidP="00353193">
            <w:pPr>
              <w:rPr>
                <w:rFonts w:ascii="Times New Roman" w:hAnsi="Times New Roman" w:cs="Times New Roman"/>
                <w:noProof/>
                <w:szCs w:val="24"/>
              </w:rPr>
            </w:pPr>
            <w:r w:rsidRPr="00C93E4C">
              <w:rPr>
                <w:rFonts w:ascii="Times New Roman" w:hAnsi="Times New Roman" w:cs="Times New Roman"/>
                <w:noProof/>
                <w:szCs w:val="24"/>
              </w:rPr>
              <w:t>Ziqi Song, Ph.D.</w:t>
            </w:r>
          </w:p>
        </w:tc>
      </w:tr>
      <w:tr w:rsidR="006369C0" w:rsidRPr="004B070F" w14:paraId="5CAFB1C9" w14:textId="77777777" w:rsidTr="00E57CA6">
        <w:trPr>
          <w:jc w:val="center"/>
        </w:trPr>
        <w:tc>
          <w:tcPr>
            <w:tcW w:w="3415" w:type="dxa"/>
          </w:tcPr>
          <w:p w14:paraId="3EA0A870" w14:textId="77777777"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660" w:type="dxa"/>
          </w:tcPr>
          <w:p w14:paraId="542B8348" w14:textId="69336B16" w:rsidR="00C93E4C" w:rsidRPr="00C93E4C" w:rsidRDefault="00C93E4C" w:rsidP="00C93E4C">
            <w:pPr>
              <w:rPr>
                <w:rFonts w:ascii="Times New Roman" w:hAnsi="Times New Roman" w:cs="Times New Roman"/>
                <w:noProof/>
                <w:szCs w:val="24"/>
              </w:rPr>
            </w:pPr>
            <w:r>
              <w:rPr>
                <w:rFonts w:ascii="Times New Roman" w:hAnsi="Times New Roman" w:cs="Times New Roman"/>
                <w:noProof/>
                <w:szCs w:val="24"/>
              </w:rPr>
              <w:t>A</w:t>
            </w:r>
            <w:r w:rsidRPr="00C93E4C">
              <w:rPr>
                <w:rFonts w:ascii="Times New Roman" w:hAnsi="Times New Roman" w:cs="Times New Roman"/>
                <w:noProof/>
                <w:szCs w:val="24"/>
              </w:rPr>
              <w:t>ssociate Professor</w:t>
            </w:r>
          </w:p>
          <w:p w14:paraId="245836E0" w14:textId="77777777" w:rsidR="00C93E4C" w:rsidRPr="00C93E4C" w:rsidRDefault="00C93E4C" w:rsidP="00C93E4C">
            <w:pPr>
              <w:rPr>
                <w:rFonts w:ascii="Times New Roman" w:hAnsi="Times New Roman" w:cs="Times New Roman"/>
                <w:noProof/>
                <w:szCs w:val="24"/>
              </w:rPr>
            </w:pPr>
            <w:r w:rsidRPr="00C93E4C">
              <w:rPr>
                <w:rFonts w:ascii="Times New Roman" w:hAnsi="Times New Roman" w:cs="Times New Roman"/>
                <w:noProof/>
                <w:szCs w:val="24"/>
              </w:rPr>
              <w:t>Department of Civil &amp; Environmental Engineering</w:t>
            </w:r>
          </w:p>
          <w:p w14:paraId="673E016B" w14:textId="77777777" w:rsidR="00C93E4C" w:rsidRPr="00C93E4C" w:rsidRDefault="00C93E4C" w:rsidP="00C93E4C">
            <w:pPr>
              <w:rPr>
                <w:rFonts w:ascii="Times New Roman" w:hAnsi="Times New Roman" w:cs="Times New Roman"/>
                <w:noProof/>
                <w:szCs w:val="24"/>
              </w:rPr>
            </w:pPr>
            <w:r w:rsidRPr="00C93E4C">
              <w:rPr>
                <w:rFonts w:ascii="Times New Roman" w:hAnsi="Times New Roman" w:cs="Times New Roman"/>
                <w:noProof/>
                <w:szCs w:val="24"/>
              </w:rPr>
              <w:t>Utah State University</w:t>
            </w:r>
          </w:p>
          <w:p w14:paraId="50C9621A" w14:textId="77777777" w:rsidR="00C93E4C" w:rsidRPr="00C93E4C" w:rsidRDefault="00C93E4C" w:rsidP="00C93E4C">
            <w:pPr>
              <w:rPr>
                <w:rFonts w:ascii="Times New Roman" w:hAnsi="Times New Roman" w:cs="Times New Roman"/>
                <w:noProof/>
                <w:szCs w:val="24"/>
              </w:rPr>
            </w:pPr>
            <w:r w:rsidRPr="00C93E4C">
              <w:rPr>
                <w:rFonts w:ascii="Times New Roman" w:hAnsi="Times New Roman" w:cs="Times New Roman"/>
                <w:noProof/>
                <w:szCs w:val="24"/>
              </w:rPr>
              <w:t>Phone: (435) 797-9083</w:t>
            </w:r>
          </w:p>
          <w:p w14:paraId="58C55F6D" w14:textId="77777777" w:rsidR="00C93E4C" w:rsidRPr="00C93E4C" w:rsidRDefault="00C93E4C" w:rsidP="00C93E4C">
            <w:pPr>
              <w:rPr>
                <w:rFonts w:ascii="Times New Roman" w:hAnsi="Times New Roman" w:cs="Times New Roman"/>
                <w:noProof/>
                <w:szCs w:val="24"/>
              </w:rPr>
            </w:pPr>
            <w:r w:rsidRPr="00C93E4C">
              <w:rPr>
                <w:rFonts w:ascii="Times New Roman" w:hAnsi="Times New Roman" w:cs="Times New Roman"/>
                <w:noProof/>
                <w:szCs w:val="24"/>
              </w:rPr>
              <w:t>Email: ziqi.song@usu.edu</w:t>
            </w:r>
          </w:p>
          <w:p w14:paraId="31CE917A" w14:textId="26EACC97" w:rsidR="006369C0" w:rsidRDefault="00C93E4C" w:rsidP="00C93E4C">
            <w:pPr>
              <w:rPr>
                <w:rFonts w:ascii="Times New Roman" w:hAnsi="Times New Roman" w:cs="Times New Roman"/>
                <w:noProof/>
                <w:szCs w:val="24"/>
              </w:rPr>
            </w:pPr>
            <w:r w:rsidRPr="00C93E4C">
              <w:rPr>
                <w:rFonts w:ascii="Times New Roman" w:hAnsi="Times New Roman" w:cs="Times New Roman"/>
                <w:noProof/>
                <w:szCs w:val="24"/>
              </w:rPr>
              <w:t>ORCID: 0000-0002-9693-3256</w:t>
            </w:r>
          </w:p>
        </w:tc>
      </w:tr>
      <w:tr w:rsidR="006369C0" w:rsidRPr="004B070F" w14:paraId="65D656B3" w14:textId="77777777" w:rsidTr="00E57CA6">
        <w:trPr>
          <w:jc w:val="center"/>
        </w:trPr>
        <w:tc>
          <w:tcPr>
            <w:tcW w:w="3415" w:type="dxa"/>
          </w:tcPr>
          <w:p w14:paraId="5B445C43"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660" w:type="dxa"/>
          </w:tcPr>
          <w:p w14:paraId="689453EC" w14:textId="4C7FEAE6" w:rsidR="008B495C" w:rsidRPr="00CE274D" w:rsidRDefault="006369C0" w:rsidP="00AC760B">
            <w:pPr>
              <w:spacing w:after="240"/>
              <w:rPr>
                <w:rFonts w:ascii="Times New Roman" w:hAnsi="Times New Roman" w:cs="Times New Roman"/>
              </w:rPr>
            </w:pPr>
            <w:r w:rsidRPr="00CE274D">
              <w:rPr>
                <w:rFonts w:ascii="Times New Roman" w:hAnsi="Times New Roman" w:cs="Times New Roman"/>
                <w:noProof/>
              </w:rPr>
              <w:t xml:space="preserve">USDOT, </w:t>
            </w:r>
            <w:r w:rsidR="00CB4A51" w:rsidRPr="00CE274D">
              <w:rPr>
                <w:rFonts w:ascii="Times New Roman" w:hAnsi="Times New Roman" w:cs="Times New Roman"/>
                <w:noProof/>
              </w:rPr>
              <w:t>Office of the Assistant Secretary for Research and Technology</w:t>
            </w:r>
            <w:r w:rsidR="00AC760B">
              <w:rPr>
                <w:rFonts w:ascii="Times New Roman" w:hAnsi="Times New Roman" w:cs="Times New Roman"/>
              </w:rPr>
              <w:br/>
            </w:r>
            <w:r w:rsidR="00F44E21" w:rsidRPr="00CE274D">
              <w:rPr>
                <w:rFonts w:ascii="Times New Roman" w:hAnsi="Times New Roman" w:cs="Times New Roman"/>
              </w:rPr>
              <w:t>$</w:t>
            </w:r>
            <w:r w:rsidR="00B1701D">
              <w:rPr>
                <w:rFonts w:ascii="Times New Roman" w:hAnsi="Times New Roman" w:cs="Times New Roman"/>
              </w:rPr>
              <w:t>9</w:t>
            </w:r>
            <w:r w:rsidR="009001A4">
              <w:rPr>
                <w:rFonts w:ascii="Times New Roman" w:hAnsi="Times New Roman" w:cs="Times New Roman"/>
              </w:rPr>
              <w:t>0</w:t>
            </w:r>
            <w:r w:rsidR="008B495C" w:rsidRPr="00CE274D">
              <w:rPr>
                <w:rFonts w:ascii="Times New Roman" w:hAnsi="Times New Roman" w:cs="Times New Roman"/>
              </w:rPr>
              <w:t>,</w:t>
            </w:r>
            <w:r w:rsidR="009001A4">
              <w:rPr>
                <w:rFonts w:ascii="Times New Roman" w:hAnsi="Times New Roman" w:cs="Times New Roman"/>
              </w:rPr>
              <w:t>0</w:t>
            </w:r>
            <w:r w:rsidR="00590240">
              <w:rPr>
                <w:rFonts w:ascii="Times New Roman" w:hAnsi="Times New Roman" w:cs="Times New Roman"/>
              </w:rPr>
              <w:t>00</w:t>
            </w:r>
          </w:p>
          <w:p w14:paraId="228866A4" w14:textId="2F1C3E63" w:rsidR="00334777" w:rsidRPr="00CE274D" w:rsidRDefault="00B1701D" w:rsidP="009001A4">
            <w:pPr>
              <w:tabs>
                <w:tab w:val="left" w:pos="3217"/>
                <w:tab w:val="right" w:pos="4027"/>
              </w:tabs>
              <w:rPr>
                <w:rFonts w:ascii="Times New Roman" w:hAnsi="Times New Roman" w:cs="Times New Roman"/>
              </w:rPr>
            </w:pPr>
            <w:r w:rsidRPr="00B1701D">
              <w:rPr>
                <w:rFonts w:ascii="Times New Roman" w:hAnsi="Times New Roman" w:cs="Times New Roman"/>
              </w:rPr>
              <w:t>Utah LTAP, financial support</w:t>
            </w:r>
            <w:r w:rsidR="00AC760B">
              <w:rPr>
                <w:rFonts w:ascii="Times New Roman" w:hAnsi="Times New Roman" w:cs="Times New Roman"/>
              </w:rPr>
              <w:br/>
              <w:t>$</w:t>
            </w:r>
            <w:r>
              <w:rPr>
                <w:rFonts w:ascii="Times New Roman" w:hAnsi="Times New Roman" w:cs="Times New Roman"/>
              </w:rPr>
              <w:t>9</w:t>
            </w:r>
            <w:r w:rsidR="009001A4">
              <w:rPr>
                <w:rFonts w:ascii="Times New Roman" w:hAnsi="Times New Roman" w:cs="Times New Roman"/>
              </w:rPr>
              <w:t>0</w:t>
            </w:r>
            <w:r w:rsidR="00AC760B">
              <w:rPr>
                <w:rFonts w:ascii="Times New Roman" w:hAnsi="Times New Roman" w:cs="Times New Roman"/>
              </w:rPr>
              <w:t>,</w:t>
            </w:r>
            <w:r w:rsidR="009001A4">
              <w:rPr>
                <w:rFonts w:ascii="Times New Roman" w:hAnsi="Times New Roman" w:cs="Times New Roman"/>
              </w:rPr>
              <w:t>000</w:t>
            </w:r>
          </w:p>
        </w:tc>
      </w:tr>
      <w:tr w:rsidR="006369C0" w:rsidRPr="004B070F" w14:paraId="50E8B969" w14:textId="77777777" w:rsidTr="00E57CA6">
        <w:trPr>
          <w:jc w:val="center"/>
        </w:trPr>
        <w:tc>
          <w:tcPr>
            <w:tcW w:w="3415" w:type="dxa"/>
          </w:tcPr>
          <w:p w14:paraId="6AC908E9" w14:textId="77777777"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660" w:type="dxa"/>
          </w:tcPr>
          <w:p w14:paraId="3D67C476" w14:textId="2929D161" w:rsidR="006369C0" w:rsidRDefault="00F829B1" w:rsidP="00400EA7">
            <w:pPr>
              <w:rPr>
                <w:rFonts w:ascii="Times New Roman" w:hAnsi="Times New Roman" w:cs="Times New Roman"/>
              </w:rPr>
            </w:pPr>
            <w:r>
              <w:rPr>
                <w:rFonts w:ascii="Times New Roman" w:hAnsi="Times New Roman" w:cs="Times New Roman"/>
              </w:rPr>
              <w:t>$</w:t>
            </w:r>
            <w:r w:rsidR="009E297E">
              <w:rPr>
                <w:rFonts w:ascii="Times New Roman" w:hAnsi="Times New Roman" w:cs="Times New Roman"/>
              </w:rPr>
              <w:t>1</w:t>
            </w:r>
            <w:r w:rsidR="00B1701D">
              <w:rPr>
                <w:rFonts w:ascii="Times New Roman" w:hAnsi="Times New Roman" w:cs="Times New Roman"/>
              </w:rPr>
              <w:t>8</w:t>
            </w:r>
            <w:r w:rsidR="009E297E">
              <w:rPr>
                <w:rFonts w:ascii="Times New Roman" w:hAnsi="Times New Roman" w:cs="Times New Roman"/>
              </w:rPr>
              <w:t>0</w:t>
            </w:r>
            <w:r w:rsidR="00476C74">
              <w:rPr>
                <w:rFonts w:ascii="Times New Roman" w:hAnsi="Times New Roman" w:cs="Times New Roman"/>
              </w:rPr>
              <w:t>,</w:t>
            </w:r>
            <w:r w:rsidR="009E297E">
              <w:rPr>
                <w:rFonts w:ascii="Times New Roman" w:hAnsi="Times New Roman" w:cs="Times New Roman"/>
              </w:rPr>
              <w:t>000</w:t>
            </w:r>
          </w:p>
        </w:tc>
      </w:tr>
      <w:tr w:rsidR="006369C0" w:rsidRPr="004B070F" w14:paraId="32378A37" w14:textId="77777777" w:rsidTr="00E57CA6">
        <w:trPr>
          <w:jc w:val="center"/>
        </w:trPr>
        <w:tc>
          <w:tcPr>
            <w:tcW w:w="3415" w:type="dxa"/>
          </w:tcPr>
          <w:p w14:paraId="0B1DC31F" w14:textId="77777777"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660" w:type="dxa"/>
          </w:tcPr>
          <w:p w14:paraId="0FD324CD" w14:textId="77777777"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14:paraId="4A587F20" w14:textId="77777777" w:rsidTr="00E57CA6">
        <w:trPr>
          <w:jc w:val="center"/>
        </w:trPr>
        <w:tc>
          <w:tcPr>
            <w:tcW w:w="3415" w:type="dxa"/>
          </w:tcPr>
          <w:p w14:paraId="17BE2D3C" w14:textId="77777777"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660" w:type="dxa"/>
          </w:tcPr>
          <w:p w14:paraId="75DA14AF" w14:textId="3B953F5A" w:rsidR="006369C0" w:rsidRPr="004B070F" w:rsidRDefault="00B821A5" w:rsidP="00664F87">
            <w:pPr>
              <w:rPr>
                <w:rFonts w:ascii="Times New Roman" w:hAnsi="Times New Roman" w:cs="Times New Roman"/>
                <w:highlight w:val="yellow"/>
              </w:rPr>
            </w:pPr>
            <w:r>
              <w:rPr>
                <w:rFonts w:ascii="Times New Roman" w:hAnsi="Times New Roman" w:cs="Times New Roman"/>
                <w:noProof/>
              </w:rPr>
              <w:t>August</w:t>
            </w:r>
            <w:r w:rsidR="006369C0" w:rsidRPr="00432B0E">
              <w:rPr>
                <w:rFonts w:ascii="Times New Roman" w:hAnsi="Times New Roman" w:cs="Times New Roman"/>
                <w:noProof/>
              </w:rPr>
              <w:t xml:space="preserve"> </w:t>
            </w:r>
            <w:r w:rsidR="00A77426">
              <w:rPr>
                <w:rFonts w:ascii="Times New Roman" w:hAnsi="Times New Roman" w:cs="Times New Roman"/>
                <w:noProof/>
              </w:rPr>
              <w:t>2</w:t>
            </w:r>
            <w:r w:rsidR="00664F87">
              <w:rPr>
                <w:rFonts w:ascii="Times New Roman" w:hAnsi="Times New Roman" w:cs="Times New Roman"/>
                <w:noProof/>
              </w:rPr>
              <w:t>4</w:t>
            </w:r>
            <w:r w:rsidR="006369C0" w:rsidRPr="00432B0E">
              <w:rPr>
                <w:rFonts w:ascii="Times New Roman" w:hAnsi="Times New Roman" w:cs="Times New Roman"/>
                <w:noProof/>
              </w:rPr>
              <w:t>, 20</w:t>
            </w:r>
            <w:r w:rsidR="00784CFD">
              <w:rPr>
                <w:rFonts w:ascii="Times New Roman" w:hAnsi="Times New Roman" w:cs="Times New Roman"/>
                <w:noProof/>
              </w:rPr>
              <w:t>21</w:t>
            </w:r>
            <w:r w:rsidR="006369C0" w:rsidRPr="00432B0E">
              <w:rPr>
                <w:rFonts w:ascii="Times New Roman" w:hAnsi="Times New Roman" w:cs="Times New Roman"/>
                <w:noProof/>
              </w:rPr>
              <w:t xml:space="preserve"> to July 31, 2022</w:t>
            </w:r>
          </w:p>
        </w:tc>
      </w:tr>
      <w:tr w:rsidR="006369C0" w:rsidRPr="004B070F" w14:paraId="14D43608" w14:textId="77777777" w:rsidTr="00E57CA6">
        <w:trPr>
          <w:jc w:val="center"/>
        </w:trPr>
        <w:tc>
          <w:tcPr>
            <w:tcW w:w="3415" w:type="dxa"/>
          </w:tcPr>
          <w:p w14:paraId="4011CAB6" w14:textId="77777777"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660" w:type="dxa"/>
          </w:tcPr>
          <w:p w14:paraId="53A7CCA0" w14:textId="77777777" w:rsidR="00B178D8" w:rsidRDefault="00B178D8" w:rsidP="00B178D8">
            <w:pPr>
              <w:spacing w:after="240"/>
              <w:rPr>
                <w:rFonts w:ascii="Times New Roman" w:hAnsi="Times New Roman" w:cs="Times New Roman"/>
                <w:noProof/>
                <w:szCs w:val="24"/>
              </w:rPr>
            </w:pPr>
            <w:r w:rsidRPr="00B178D8">
              <w:rPr>
                <w:rFonts w:ascii="Times New Roman" w:hAnsi="Times New Roman" w:cs="Times New Roman"/>
                <w:noProof/>
                <w:szCs w:val="24"/>
              </w:rPr>
              <w:t>To alleviate GHG emissions, electric vehicles (EVs) are introduced as a promising solution to reduce tailpipe emissions, providing a more sustainable transportation system. However, the primary unfavorable factor that may negatively impact EV market share is the limited driving range of EVs. Wireless charging lanes are one of the most convenient and promising charging solutions that can eliminate range anxiety if they become prevalent in a regional transportation network. Given the limited government budgets, the deployment of public charging infrastructure should address both efficiency and equity concerns.</w:t>
            </w:r>
          </w:p>
          <w:p w14:paraId="059A8B07" w14:textId="4D5BBE7E" w:rsidR="00E57CA6" w:rsidRPr="004B7858" w:rsidRDefault="00B178D8" w:rsidP="00B178D8">
            <w:pPr>
              <w:spacing w:after="240"/>
              <w:rPr>
                <w:rFonts w:ascii="Times New Roman" w:hAnsi="Times New Roman" w:cs="Times New Roman"/>
                <w:noProof/>
                <w:szCs w:val="24"/>
              </w:rPr>
            </w:pPr>
            <w:r w:rsidRPr="00B178D8">
              <w:rPr>
                <w:rFonts w:ascii="Times New Roman" w:hAnsi="Times New Roman" w:cs="Times New Roman"/>
                <w:noProof/>
                <w:szCs w:val="24"/>
              </w:rPr>
              <w:t>In this study, we develop a modeling framework for the equitable and efficient deployment of wireless charging lanes in general transportation networks. We envision that EVs are about to become common in the road network, and that governmental agencies are striving to apply an equitable and efficient deployment strategy to introduce wireless charging lanes into transportation systems. To efficiently and equitably deploy charging lanes, one must consider the charging and route choice behaviors of EV drivers who follow a selfish decision-making procedure, as well as proper deployment strategies that guarantee the fair distribution of all benefits of charging lanes.</w:t>
            </w:r>
          </w:p>
        </w:tc>
      </w:tr>
      <w:tr w:rsidR="006369C0" w:rsidRPr="004B070F" w14:paraId="2E989BDD" w14:textId="77777777" w:rsidTr="00E57CA6">
        <w:trPr>
          <w:trHeight w:val="1034"/>
          <w:jc w:val="center"/>
        </w:trPr>
        <w:tc>
          <w:tcPr>
            <w:tcW w:w="3415" w:type="dxa"/>
          </w:tcPr>
          <w:p w14:paraId="2C298402" w14:textId="77777777"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14:paraId="4FBA15EB" w14:textId="77777777" w:rsidR="006369C0" w:rsidRPr="004B070F" w:rsidRDefault="006369C0">
            <w:pPr>
              <w:rPr>
                <w:rFonts w:ascii="Times New Roman" w:hAnsi="Times New Roman" w:cs="Times New Roman"/>
              </w:rPr>
            </w:pPr>
          </w:p>
          <w:p w14:paraId="30E7C65E" w14:textId="77777777"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660" w:type="dxa"/>
          </w:tcPr>
          <w:p w14:paraId="46B1D080" w14:textId="77777777" w:rsidR="006369C0" w:rsidRPr="004B070F" w:rsidRDefault="006369C0" w:rsidP="00F5541A">
            <w:pPr>
              <w:spacing w:after="240"/>
            </w:pPr>
          </w:p>
        </w:tc>
      </w:tr>
      <w:tr w:rsidR="006369C0" w:rsidRPr="004B070F" w14:paraId="261B3912" w14:textId="77777777" w:rsidTr="00E57CA6">
        <w:trPr>
          <w:trHeight w:val="395"/>
          <w:jc w:val="center"/>
        </w:trPr>
        <w:tc>
          <w:tcPr>
            <w:tcW w:w="3415" w:type="dxa"/>
          </w:tcPr>
          <w:p w14:paraId="2FA02D33" w14:textId="77777777" w:rsidR="006369C0" w:rsidRPr="004B070F" w:rsidRDefault="006369C0">
            <w:pPr>
              <w:rPr>
                <w:rFonts w:ascii="Times New Roman" w:hAnsi="Times New Roman" w:cs="Times New Roman"/>
              </w:rPr>
            </w:pPr>
            <w:r w:rsidRPr="004B070F">
              <w:rPr>
                <w:rFonts w:ascii="Times New Roman" w:hAnsi="Times New Roman" w:cs="Times New Roman"/>
              </w:rPr>
              <w:lastRenderedPageBreak/>
              <w:t>Impacts/Benefits of Implementation</w:t>
            </w:r>
          </w:p>
          <w:p w14:paraId="2EF2D50C" w14:textId="77777777"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660" w:type="dxa"/>
          </w:tcPr>
          <w:p w14:paraId="34E3E6D5" w14:textId="77777777" w:rsidR="006369C0" w:rsidRPr="004B070F" w:rsidRDefault="006369C0" w:rsidP="00F5541A">
            <w:pPr>
              <w:spacing w:after="240"/>
              <w:rPr>
                <w:rFonts w:ascii="Times New Roman" w:hAnsi="Times New Roman" w:cs="Times New Roman"/>
              </w:rPr>
            </w:pPr>
          </w:p>
        </w:tc>
      </w:tr>
      <w:tr w:rsidR="006369C0" w:rsidRPr="004B070F" w14:paraId="4A6BE980" w14:textId="77777777" w:rsidTr="00E57CA6">
        <w:trPr>
          <w:jc w:val="center"/>
        </w:trPr>
        <w:tc>
          <w:tcPr>
            <w:tcW w:w="3415" w:type="dxa"/>
          </w:tcPr>
          <w:p w14:paraId="7D692A26" w14:textId="77777777" w:rsidR="006369C0" w:rsidRPr="004B070F" w:rsidRDefault="006369C0">
            <w:pPr>
              <w:rPr>
                <w:rFonts w:ascii="Times New Roman" w:hAnsi="Times New Roman" w:cs="Times New Roman"/>
              </w:rPr>
            </w:pPr>
            <w:r w:rsidRPr="004B070F">
              <w:rPr>
                <w:rFonts w:ascii="Times New Roman" w:hAnsi="Times New Roman" w:cs="Times New Roman"/>
              </w:rPr>
              <w:t>Web Links</w:t>
            </w:r>
          </w:p>
          <w:p w14:paraId="4682E000" w14:textId="77777777"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14:paraId="25D844EE" w14:textId="77777777"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660" w:type="dxa"/>
          </w:tcPr>
          <w:p w14:paraId="74D92BA2" w14:textId="77777777" w:rsidR="006369C0" w:rsidRPr="004B070F" w:rsidRDefault="006369C0" w:rsidP="00AB062C">
            <w:pPr>
              <w:rPr>
                <w:rFonts w:ascii="Times New Roman" w:hAnsi="Times New Roman" w:cs="Times New Roman"/>
              </w:rPr>
            </w:pPr>
          </w:p>
        </w:tc>
      </w:tr>
    </w:tbl>
    <w:p w14:paraId="28E9B2E3" w14:textId="77777777" w:rsidR="006369C0" w:rsidRPr="00F25513" w:rsidRDefault="006369C0" w:rsidP="00024067">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729D"/>
    <w:rsid w:val="00021263"/>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6251"/>
    <w:rsid w:val="000F1141"/>
    <w:rsid w:val="000F1E55"/>
    <w:rsid w:val="000F25D1"/>
    <w:rsid w:val="000F2B2D"/>
    <w:rsid w:val="000F3CC9"/>
    <w:rsid w:val="000F3EED"/>
    <w:rsid w:val="000F526A"/>
    <w:rsid w:val="000F77F3"/>
    <w:rsid w:val="0010425C"/>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E1D"/>
    <w:rsid w:val="00266FE5"/>
    <w:rsid w:val="00277249"/>
    <w:rsid w:val="002808B0"/>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4CA3"/>
    <w:rsid w:val="00400D46"/>
    <w:rsid w:val="00400EA7"/>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76C74"/>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0240"/>
    <w:rsid w:val="00591E92"/>
    <w:rsid w:val="00592B8A"/>
    <w:rsid w:val="005A34A9"/>
    <w:rsid w:val="005B12A2"/>
    <w:rsid w:val="005C5EFC"/>
    <w:rsid w:val="005D3E21"/>
    <w:rsid w:val="005D64F4"/>
    <w:rsid w:val="005D6928"/>
    <w:rsid w:val="005E0BB4"/>
    <w:rsid w:val="005E1A27"/>
    <w:rsid w:val="005F7C9D"/>
    <w:rsid w:val="0060116D"/>
    <w:rsid w:val="0060282E"/>
    <w:rsid w:val="00607128"/>
    <w:rsid w:val="0061075E"/>
    <w:rsid w:val="006122F3"/>
    <w:rsid w:val="006133F6"/>
    <w:rsid w:val="00615B2B"/>
    <w:rsid w:val="00615BEE"/>
    <w:rsid w:val="00620ED9"/>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24D2"/>
    <w:rsid w:val="007C2BA0"/>
    <w:rsid w:val="007C4B35"/>
    <w:rsid w:val="007C4E20"/>
    <w:rsid w:val="007C5540"/>
    <w:rsid w:val="007C6A8C"/>
    <w:rsid w:val="007C6EDE"/>
    <w:rsid w:val="007D63B2"/>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25AE"/>
    <w:rsid w:val="00886D1A"/>
    <w:rsid w:val="00894902"/>
    <w:rsid w:val="008A0AFB"/>
    <w:rsid w:val="008A24E4"/>
    <w:rsid w:val="008A4F52"/>
    <w:rsid w:val="008B09A8"/>
    <w:rsid w:val="008B4661"/>
    <w:rsid w:val="008B495C"/>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1A4"/>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64F"/>
    <w:rsid w:val="00A2584A"/>
    <w:rsid w:val="00A26429"/>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4DE6"/>
    <w:rsid w:val="00B1701D"/>
    <w:rsid w:val="00B178D8"/>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3E4C"/>
    <w:rsid w:val="00C9711F"/>
    <w:rsid w:val="00C971CF"/>
    <w:rsid w:val="00C97F1C"/>
    <w:rsid w:val="00CA2CF5"/>
    <w:rsid w:val="00CB31DB"/>
    <w:rsid w:val="00CB3FBA"/>
    <w:rsid w:val="00CB439F"/>
    <w:rsid w:val="00CB4A51"/>
    <w:rsid w:val="00CC186A"/>
    <w:rsid w:val="00CC34E0"/>
    <w:rsid w:val="00CC391D"/>
    <w:rsid w:val="00CD2F5D"/>
    <w:rsid w:val="00CE1984"/>
    <w:rsid w:val="00CE274D"/>
    <w:rsid w:val="00CE5260"/>
    <w:rsid w:val="00CE6956"/>
    <w:rsid w:val="00CE7707"/>
    <w:rsid w:val="00CF11BA"/>
    <w:rsid w:val="00CF3C6A"/>
    <w:rsid w:val="00CF4153"/>
    <w:rsid w:val="00D14607"/>
    <w:rsid w:val="00D25E50"/>
    <w:rsid w:val="00D2662E"/>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A12E5"/>
    <w:rsid w:val="00EB69C5"/>
    <w:rsid w:val="00EC2ACB"/>
    <w:rsid w:val="00EC34DE"/>
    <w:rsid w:val="00ED3425"/>
    <w:rsid w:val="00EE3BB6"/>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5541A"/>
    <w:rsid w:val="00F61209"/>
    <w:rsid w:val="00F6271A"/>
    <w:rsid w:val="00F636CB"/>
    <w:rsid w:val="00F65DD6"/>
    <w:rsid w:val="00F67BC5"/>
    <w:rsid w:val="00F70726"/>
    <w:rsid w:val="00F80C7F"/>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090EB2"/>
    <w:pPr>
      <w:spacing w:after="0"/>
      <w:outlineLvl w:val="0"/>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090EB2"/>
    <w:rPr>
      <w:rFonts w:ascii="Times New Roman" w:hAnsi="Times New Roman" w:cs="Times New Roman"/>
      <w:b/>
      <w:sz w:val="28"/>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Analysis of Benefits and Costs for Gravel and Unpaved Roads</vt:lpstr>
    </vt:vector>
  </TitlesOfParts>
  <Company>DOT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Equitable Deployment of Wireless Charging Lanes in Transportation Networks</dc:title>
  <dc:creator>patrick.nichols</dc:creator>
  <cp:lastModifiedBy>Nichols, Patrick</cp:lastModifiedBy>
  <cp:revision>563</cp:revision>
  <cp:lastPrinted>2021-06-01T15:00:00Z</cp:lastPrinted>
  <dcterms:created xsi:type="dcterms:W3CDTF">2019-01-17T15:14:00Z</dcterms:created>
  <dcterms:modified xsi:type="dcterms:W3CDTF">2021-09-01T20:45:00Z</dcterms:modified>
</cp:coreProperties>
</file>